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AC" w:rsidRDefault="00064B1D" w:rsidP="00E54099">
      <w:pPr>
        <w:pStyle w:val="Zkladntext"/>
        <w:spacing w:beforeLines="20"/>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E54099">
      <w:pPr>
        <w:pStyle w:val="Zkladntext"/>
        <w:spacing w:beforeLines="20"/>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731325">
        <w:rPr>
          <w:rFonts w:ascii="Times New Roman" w:hAnsi="Times New Roman"/>
          <w:i w:val="0"/>
          <w:sz w:val="28"/>
          <w:szCs w:val="28"/>
        </w:rPr>
        <w:t>3</w:t>
      </w:r>
    </w:p>
    <w:p w:rsidR="00AE2642" w:rsidRDefault="00AE2642" w:rsidP="00E54099">
      <w:pPr>
        <w:pStyle w:val="Zkladntext"/>
        <w:spacing w:beforeLines="20"/>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w:t>
      </w:r>
      <w:r w:rsidR="00DC26F4">
        <w:rPr>
          <w:rFonts w:ascii="Times New Roman" w:hAnsi="Times New Roman"/>
        </w:rPr>
        <w:t xml:space="preserve"> zákoníku mezi smluvními stranami</w:t>
      </w:r>
    </w:p>
    <w:p w:rsidR="00DC26F4" w:rsidRDefault="00DC26F4" w:rsidP="00E54099">
      <w:pPr>
        <w:pStyle w:val="Zkladntext"/>
        <w:spacing w:beforeLines="20"/>
        <w:jc w:val="center"/>
        <w:rPr>
          <w:rFonts w:ascii="Times New Roman" w:hAnsi="Times New Roman"/>
        </w:rPr>
      </w:pPr>
    </w:p>
    <w:tbl>
      <w:tblPr>
        <w:tblW w:w="0" w:type="auto"/>
        <w:jc w:val="center"/>
        <w:tblLayout w:type="fixed"/>
        <w:tblCellMar>
          <w:left w:w="70" w:type="dxa"/>
          <w:right w:w="70" w:type="dxa"/>
        </w:tblCellMar>
        <w:tblLook w:val="0000"/>
      </w:tblPr>
      <w:tblGrid>
        <w:gridCol w:w="3614"/>
        <w:gridCol w:w="6164"/>
      </w:tblGrid>
      <w:tr w:rsidR="00AE2642" w:rsidTr="005963A8">
        <w:trPr>
          <w:trHeight w:val="317"/>
          <w:jc w:val="center"/>
        </w:trPr>
        <w:tc>
          <w:tcPr>
            <w:tcW w:w="3614" w:type="dxa"/>
            <w:shd w:val="clear" w:color="00FFFF" w:fill="auto"/>
          </w:tcPr>
          <w:p w:rsidR="00AE2642" w:rsidRDefault="00AE2642" w:rsidP="00E54099">
            <w:pPr>
              <w:spacing w:beforeLines="20"/>
              <w:rPr>
                <w:b/>
                <w:sz w:val="24"/>
              </w:rPr>
            </w:pPr>
            <w:r>
              <w:rPr>
                <w:b/>
                <w:sz w:val="24"/>
              </w:rPr>
              <w:t xml:space="preserve">OBJEDNATEL:             </w:t>
            </w:r>
            <w:r>
              <w:rPr>
                <w:b/>
                <w:sz w:val="24"/>
              </w:rPr>
              <w:tab/>
            </w:r>
          </w:p>
        </w:tc>
        <w:tc>
          <w:tcPr>
            <w:tcW w:w="6164" w:type="dxa"/>
            <w:shd w:val="clear" w:color="00FFFF" w:fill="auto"/>
          </w:tcPr>
          <w:p w:rsidR="00AE2642" w:rsidRPr="005963A8" w:rsidRDefault="005963A8" w:rsidP="00E54099">
            <w:pPr>
              <w:pStyle w:val="Nadpis3"/>
              <w:spacing w:beforeLines="20"/>
              <w:rPr>
                <w:rFonts w:ascii="Times New Roman" w:hAnsi="Times New Roman"/>
              </w:rPr>
            </w:pPr>
            <w:r>
              <w:rPr>
                <w:rFonts w:ascii="Times New Roman" w:hAnsi="Times New Roman"/>
              </w:rPr>
              <w:t>Armádní Servisní, příspěvková organizace</w:t>
            </w:r>
          </w:p>
        </w:tc>
      </w:tr>
      <w:tr w:rsidR="00AE2642" w:rsidTr="005963A8">
        <w:trPr>
          <w:trHeight w:val="280"/>
          <w:jc w:val="center"/>
        </w:trPr>
        <w:tc>
          <w:tcPr>
            <w:tcW w:w="3614" w:type="dxa"/>
          </w:tcPr>
          <w:p w:rsidR="00AE2642" w:rsidRDefault="00731325" w:rsidP="00E54099">
            <w:pPr>
              <w:spacing w:beforeLines="20"/>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E54099">
            <w:pPr>
              <w:spacing w:beforeLines="20"/>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E54099">
            <w:pPr>
              <w:spacing w:beforeLines="20"/>
              <w:rPr>
                <w:i/>
                <w:sz w:val="24"/>
              </w:rPr>
            </w:pPr>
            <w:r>
              <w:rPr>
                <w:i/>
                <w:sz w:val="24"/>
              </w:rPr>
              <w:t>Sídlo:</w:t>
            </w:r>
          </w:p>
        </w:tc>
        <w:tc>
          <w:tcPr>
            <w:tcW w:w="6164" w:type="dxa"/>
          </w:tcPr>
          <w:p w:rsidR="00AE2642" w:rsidRDefault="005963A8" w:rsidP="00E54099">
            <w:pPr>
              <w:spacing w:beforeLines="20"/>
              <w:rPr>
                <w:sz w:val="24"/>
              </w:rPr>
            </w:pPr>
            <w:proofErr w:type="spellStart"/>
            <w:r>
              <w:rPr>
                <w:sz w:val="24"/>
              </w:rPr>
              <w:t>Podbabská</w:t>
            </w:r>
            <w:proofErr w:type="spellEnd"/>
            <w:r>
              <w:rPr>
                <w:sz w:val="24"/>
              </w:rPr>
              <w:t xml:space="preserve">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E54099">
            <w:pPr>
              <w:spacing w:beforeLines="20"/>
              <w:rPr>
                <w:i/>
                <w:sz w:val="24"/>
              </w:rPr>
            </w:pPr>
            <w:r>
              <w:rPr>
                <w:i/>
                <w:sz w:val="24"/>
              </w:rPr>
              <w:t>IČ:</w:t>
            </w:r>
          </w:p>
          <w:p w:rsidR="00AE2642" w:rsidRDefault="00AE2642" w:rsidP="00E54099">
            <w:pPr>
              <w:spacing w:beforeLines="20"/>
              <w:rPr>
                <w:i/>
                <w:sz w:val="24"/>
              </w:rPr>
            </w:pPr>
            <w:r>
              <w:rPr>
                <w:i/>
                <w:sz w:val="24"/>
              </w:rPr>
              <w:t>DIČ</w:t>
            </w:r>
            <w:r w:rsidR="00036744">
              <w:rPr>
                <w:i/>
                <w:sz w:val="24"/>
              </w:rPr>
              <w:t>:</w:t>
            </w:r>
          </w:p>
        </w:tc>
        <w:tc>
          <w:tcPr>
            <w:tcW w:w="6164" w:type="dxa"/>
            <w:tcBorders>
              <w:bottom w:val="nil"/>
            </w:tcBorders>
          </w:tcPr>
          <w:p w:rsidR="00AE2642" w:rsidRDefault="00AE2642" w:rsidP="00E54099">
            <w:pPr>
              <w:spacing w:beforeLines="20"/>
              <w:rPr>
                <w:sz w:val="24"/>
              </w:rPr>
            </w:pPr>
            <w:r>
              <w:rPr>
                <w:sz w:val="24"/>
              </w:rPr>
              <w:t>60460580</w:t>
            </w:r>
          </w:p>
          <w:p w:rsidR="00AE2642" w:rsidRDefault="00AE2642" w:rsidP="00E54099">
            <w:pPr>
              <w:spacing w:beforeLines="20"/>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E54099">
            <w:pPr>
              <w:spacing w:beforeLines="20"/>
              <w:rPr>
                <w:i/>
                <w:sz w:val="24"/>
              </w:rPr>
            </w:pPr>
            <w:r>
              <w:rPr>
                <w:i/>
                <w:sz w:val="24"/>
              </w:rPr>
              <w:t>Tel</w:t>
            </w:r>
            <w:r w:rsidR="007D4A64">
              <w:rPr>
                <w:i/>
                <w:sz w:val="24"/>
              </w:rPr>
              <w:t>.</w:t>
            </w:r>
            <w:r>
              <w:rPr>
                <w:i/>
                <w:sz w:val="24"/>
              </w:rPr>
              <w:t xml:space="preserve">: </w:t>
            </w:r>
          </w:p>
          <w:p w:rsidR="00AE2642" w:rsidRDefault="00AE2642" w:rsidP="00E54099">
            <w:pPr>
              <w:spacing w:beforeLines="20"/>
              <w:rPr>
                <w:i/>
                <w:sz w:val="24"/>
              </w:rPr>
            </w:pPr>
            <w:r>
              <w:rPr>
                <w:i/>
                <w:sz w:val="24"/>
              </w:rPr>
              <w:t>Fax:</w:t>
            </w:r>
          </w:p>
        </w:tc>
        <w:tc>
          <w:tcPr>
            <w:tcW w:w="6164" w:type="dxa"/>
            <w:tcBorders>
              <w:bottom w:val="nil"/>
            </w:tcBorders>
          </w:tcPr>
          <w:p w:rsidR="00AE2642" w:rsidRDefault="00AE2642" w:rsidP="00E54099">
            <w:pPr>
              <w:spacing w:beforeLines="20"/>
              <w:rPr>
                <w:sz w:val="24"/>
              </w:rPr>
            </w:pPr>
            <w:r>
              <w:rPr>
                <w:sz w:val="24"/>
              </w:rPr>
              <w:t>973 2</w:t>
            </w:r>
            <w:r w:rsidR="005963A8">
              <w:rPr>
                <w:sz w:val="24"/>
              </w:rPr>
              <w:t>04</w:t>
            </w:r>
            <w:r>
              <w:rPr>
                <w:sz w:val="24"/>
              </w:rPr>
              <w:t xml:space="preserve"> </w:t>
            </w:r>
            <w:r w:rsidR="005963A8">
              <w:rPr>
                <w:sz w:val="24"/>
              </w:rPr>
              <w:t>090</w:t>
            </w:r>
          </w:p>
          <w:p w:rsidR="00AE2642" w:rsidRDefault="005963A8" w:rsidP="00E54099">
            <w:pPr>
              <w:spacing w:beforeLines="20"/>
              <w:rPr>
                <w:sz w:val="24"/>
              </w:rPr>
            </w:pPr>
            <w:r>
              <w:rPr>
                <w:sz w:val="24"/>
              </w:rPr>
              <w:t>973 204 092</w:t>
            </w:r>
          </w:p>
        </w:tc>
      </w:tr>
      <w:tr w:rsidR="00AE2642">
        <w:trPr>
          <w:trHeight w:val="357"/>
          <w:jc w:val="center"/>
        </w:trPr>
        <w:tc>
          <w:tcPr>
            <w:tcW w:w="3614" w:type="dxa"/>
          </w:tcPr>
          <w:p w:rsidR="00753CAB" w:rsidRDefault="00753CAB" w:rsidP="00E54099">
            <w:pPr>
              <w:spacing w:beforeLines="20"/>
              <w:rPr>
                <w:i/>
                <w:sz w:val="24"/>
              </w:rPr>
            </w:pPr>
            <w:r>
              <w:rPr>
                <w:i/>
                <w:sz w:val="24"/>
              </w:rPr>
              <w:t>ID datové schránky:</w:t>
            </w:r>
          </w:p>
          <w:p w:rsidR="00AE2642" w:rsidRDefault="00AE2642" w:rsidP="00E54099">
            <w:pPr>
              <w:spacing w:beforeLines="20"/>
              <w:rPr>
                <w:i/>
                <w:sz w:val="24"/>
              </w:rPr>
            </w:pPr>
            <w:r>
              <w:rPr>
                <w:i/>
                <w:sz w:val="24"/>
              </w:rPr>
              <w:t>Odpovědní zástupci pro jednání:</w:t>
            </w:r>
          </w:p>
        </w:tc>
        <w:tc>
          <w:tcPr>
            <w:tcW w:w="6164" w:type="dxa"/>
          </w:tcPr>
          <w:p w:rsidR="00AE2642" w:rsidRPr="00753CAB" w:rsidRDefault="00753CAB" w:rsidP="00E54099">
            <w:pPr>
              <w:spacing w:beforeLines="20"/>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363B73" w:rsidP="00363B73">
            <w:pPr>
              <w:rPr>
                <w:sz w:val="24"/>
              </w:rPr>
            </w:pPr>
            <w:r>
              <w:rPr>
                <w:sz w:val="24"/>
              </w:rPr>
              <w:t>Bc. Tomáš Hladík</w:t>
            </w:r>
            <w:r w:rsidR="00731325">
              <w:rPr>
                <w:sz w:val="24"/>
              </w:rPr>
              <w:t>, tel.: 973</w:t>
            </w:r>
            <w:r>
              <w:rPr>
                <w:sz w:val="24"/>
              </w:rPr>
              <w:t> 405 180</w:t>
            </w:r>
          </w:p>
        </w:tc>
      </w:tr>
      <w:tr w:rsidR="00AE2642" w:rsidTr="005963A8">
        <w:trPr>
          <w:trHeight w:val="284"/>
          <w:jc w:val="center"/>
        </w:trPr>
        <w:tc>
          <w:tcPr>
            <w:tcW w:w="3614" w:type="dxa"/>
            <w:shd w:val="clear" w:color="00FFFF" w:fill="auto"/>
          </w:tcPr>
          <w:p w:rsidR="00AE2642" w:rsidRDefault="00AE2642" w:rsidP="00E54099">
            <w:pPr>
              <w:spacing w:beforeLines="20"/>
              <w:rPr>
                <w:b/>
                <w:sz w:val="24"/>
              </w:rPr>
            </w:pPr>
            <w:r>
              <w:rPr>
                <w:b/>
                <w:sz w:val="24"/>
              </w:rPr>
              <w:t>ZHOTOVITEL:</w:t>
            </w:r>
          </w:p>
        </w:tc>
        <w:tc>
          <w:tcPr>
            <w:tcW w:w="6164" w:type="dxa"/>
            <w:shd w:val="clear" w:color="00FFFF" w:fill="auto"/>
          </w:tcPr>
          <w:p w:rsidR="00AE2642" w:rsidRPr="00C56DD3" w:rsidRDefault="00731325" w:rsidP="00731325">
            <w:pPr>
              <w:spacing w:after="120"/>
              <w:rPr>
                <w:bCs/>
                <w:sz w:val="24"/>
                <w:highlight w:val="yellow"/>
              </w:rPr>
            </w:pPr>
            <w:r w:rsidRPr="00C56DD3">
              <w:rPr>
                <w:bCs/>
                <w:sz w:val="24"/>
                <w:highlight w:val="yellow"/>
              </w:rPr>
              <w:t>………………………………………………….</w:t>
            </w:r>
          </w:p>
        </w:tc>
      </w:tr>
      <w:tr w:rsidR="00AE2642" w:rsidTr="005963A8">
        <w:trPr>
          <w:trHeight w:val="275"/>
          <w:jc w:val="center"/>
        </w:trPr>
        <w:tc>
          <w:tcPr>
            <w:tcW w:w="3614" w:type="dxa"/>
          </w:tcPr>
          <w:p w:rsidR="00AE2642" w:rsidRDefault="00AE2642" w:rsidP="00E54099">
            <w:pPr>
              <w:spacing w:beforeLines="20"/>
              <w:rPr>
                <w:i/>
                <w:sz w:val="24"/>
              </w:rPr>
            </w:pPr>
            <w:r>
              <w:rPr>
                <w:i/>
                <w:sz w:val="24"/>
              </w:rPr>
              <w:t>Zastoupený:</w:t>
            </w:r>
          </w:p>
        </w:tc>
        <w:tc>
          <w:tcPr>
            <w:tcW w:w="6164" w:type="dxa"/>
          </w:tcPr>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E54099">
            <w:pPr>
              <w:spacing w:beforeLines="20"/>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E54099">
            <w:pPr>
              <w:spacing w:beforeLines="20"/>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Bankovní spojení:</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E54099">
            <w:pPr>
              <w:spacing w:beforeLines="20"/>
              <w:rPr>
                <w:i/>
                <w:sz w:val="24"/>
              </w:rPr>
            </w:pPr>
            <w:r>
              <w:rPr>
                <w:i/>
                <w:sz w:val="24"/>
              </w:rPr>
              <w:t>Odpovědní zástupci pro jednání:</w:t>
            </w:r>
          </w:p>
        </w:tc>
        <w:tc>
          <w:tcPr>
            <w:tcW w:w="6164" w:type="dxa"/>
            <w:tcBorders>
              <w:bottom w:val="nil"/>
            </w:tcBorders>
          </w:tcPr>
          <w:p w:rsidR="00AE2642" w:rsidRDefault="00AE2642" w:rsidP="00E54099">
            <w:pPr>
              <w:spacing w:beforeLines="20"/>
              <w:rPr>
                <w:sz w:val="24"/>
              </w:rPr>
            </w:pPr>
          </w:p>
        </w:tc>
      </w:tr>
      <w:tr w:rsidR="00AE2642">
        <w:trPr>
          <w:trHeight w:val="20"/>
          <w:jc w:val="center"/>
        </w:trPr>
        <w:tc>
          <w:tcPr>
            <w:tcW w:w="3614" w:type="dxa"/>
          </w:tcPr>
          <w:p w:rsidR="00AE2642" w:rsidRDefault="00AE2642" w:rsidP="00E54099">
            <w:pPr>
              <w:spacing w:beforeLines="20"/>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AE2642">
        <w:trPr>
          <w:trHeight w:val="20"/>
          <w:jc w:val="center"/>
        </w:trPr>
        <w:tc>
          <w:tcPr>
            <w:tcW w:w="3614" w:type="dxa"/>
          </w:tcPr>
          <w:p w:rsidR="00AE2642" w:rsidRDefault="00AE2642" w:rsidP="00E54099">
            <w:pPr>
              <w:spacing w:beforeLines="20"/>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AE2642" w:rsidRDefault="00AE2642" w:rsidP="00E54099">
      <w:pPr>
        <w:spacing w:beforeLines="20"/>
        <w:ind w:left="-284"/>
        <w:jc w:val="both"/>
        <w:rPr>
          <w:b/>
          <w:sz w:val="24"/>
        </w:rPr>
      </w:pPr>
    </w:p>
    <w:p w:rsidR="0006644B" w:rsidRDefault="0006644B" w:rsidP="00E54099">
      <w:pPr>
        <w:spacing w:beforeLines="20"/>
        <w:ind w:left="-284"/>
        <w:jc w:val="both"/>
        <w:rPr>
          <w:b/>
          <w:sz w:val="24"/>
        </w:rPr>
      </w:pPr>
    </w:p>
    <w:p w:rsidR="00AE2642" w:rsidRDefault="00AE2642" w:rsidP="00E54099">
      <w:pPr>
        <w:spacing w:beforeLines="20"/>
        <w:ind w:left="-284"/>
        <w:jc w:val="both"/>
        <w:rPr>
          <w:b/>
          <w:sz w:val="24"/>
        </w:rPr>
      </w:pPr>
      <w:r>
        <w:rPr>
          <w:b/>
          <w:sz w:val="24"/>
        </w:rPr>
        <w:t>za takto dohodnutých podmínek:</w:t>
      </w:r>
    </w:p>
    <w:p w:rsidR="00DF1831" w:rsidRDefault="00DF1831" w:rsidP="00E54099">
      <w:pPr>
        <w:shd w:val="clear" w:color="00FFFF" w:fill="auto"/>
        <w:spacing w:beforeLines="20"/>
        <w:jc w:val="center"/>
        <w:rPr>
          <w:b/>
          <w:sz w:val="24"/>
        </w:rPr>
      </w:pPr>
    </w:p>
    <w:p w:rsidR="0006644B" w:rsidRDefault="0006644B" w:rsidP="00E54099">
      <w:pPr>
        <w:shd w:val="clear" w:color="00FFFF" w:fill="auto"/>
        <w:spacing w:beforeLines="20"/>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557C70" w:rsidRPr="00302F96" w:rsidRDefault="00AE2642" w:rsidP="00731325">
      <w:pPr>
        <w:pStyle w:val="Zkladntext3"/>
        <w:jc w:val="both"/>
        <w:rPr>
          <w:szCs w:val="24"/>
        </w:rPr>
      </w:pPr>
      <w:r w:rsidRPr="00E152A7">
        <w:rPr>
          <w:szCs w:val="24"/>
        </w:rPr>
        <w:t xml:space="preserve">Předmětem </w:t>
      </w:r>
      <w:r w:rsidR="005A6283" w:rsidRPr="00E152A7">
        <w:rPr>
          <w:szCs w:val="24"/>
        </w:rPr>
        <w:t xml:space="preserve">díla </w:t>
      </w:r>
      <w:r w:rsidR="00495DE3" w:rsidRPr="00E152A7">
        <w:rPr>
          <w:szCs w:val="24"/>
        </w:rPr>
        <w:t xml:space="preserve">je </w:t>
      </w:r>
      <w:r w:rsidR="00363B73">
        <w:rPr>
          <w:bCs/>
          <w:szCs w:val="24"/>
        </w:rPr>
        <w:t>p</w:t>
      </w:r>
      <w:r w:rsidR="00363B73" w:rsidRPr="00102BAD">
        <w:rPr>
          <w:bCs/>
          <w:szCs w:val="24"/>
        </w:rPr>
        <w:t xml:space="preserve">ravidelný roční servis/kontrola spotřebičů na zemní plyn – kotlů a ohřívačů TUV </w:t>
      </w:r>
      <w:r w:rsidR="00363B73" w:rsidRPr="00102BAD">
        <w:rPr>
          <w:bCs/>
          <w:iCs/>
          <w:szCs w:val="24"/>
        </w:rPr>
        <w:t xml:space="preserve">Olomouc, Štěpánov, Újezd u </w:t>
      </w:r>
      <w:proofErr w:type="spellStart"/>
      <w:r w:rsidR="00363B73" w:rsidRPr="00102BAD">
        <w:rPr>
          <w:bCs/>
          <w:iCs/>
          <w:szCs w:val="24"/>
        </w:rPr>
        <w:t>Uničova</w:t>
      </w:r>
      <w:proofErr w:type="spellEnd"/>
      <w:r w:rsidR="00363B73" w:rsidRPr="00102BAD">
        <w:rPr>
          <w:bCs/>
          <w:iCs/>
          <w:szCs w:val="24"/>
        </w:rPr>
        <w:t xml:space="preserve">, </w:t>
      </w:r>
      <w:proofErr w:type="spellStart"/>
      <w:r w:rsidR="00363B73" w:rsidRPr="00102BAD">
        <w:rPr>
          <w:bCs/>
          <w:iCs/>
          <w:szCs w:val="24"/>
        </w:rPr>
        <w:t>Přáslavice</w:t>
      </w:r>
      <w:proofErr w:type="spellEnd"/>
      <w:r w:rsidR="00363B73" w:rsidRPr="00102BAD">
        <w:rPr>
          <w:bCs/>
          <w:iCs/>
          <w:szCs w:val="24"/>
        </w:rPr>
        <w:t xml:space="preserve">, Háj ve Slezsku, Opava, </w:t>
      </w:r>
      <w:proofErr w:type="spellStart"/>
      <w:r w:rsidR="00363B73" w:rsidRPr="00102BAD">
        <w:rPr>
          <w:bCs/>
          <w:iCs/>
          <w:szCs w:val="24"/>
        </w:rPr>
        <w:t>Hlučín</w:t>
      </w:r>
      <w:proofErr w:type="spellEnd"/>
      <w:r w:rsidR="00363B73" w:rsidRPr="00102BAD">
        <w:rPr>
          <w:bCs/>
          <w:iCs/>
          <w:szCs w:val="24"/>
        </w:rPr>
        <w:t xml:space="preserve">, Hranice, Lipník nad Bečvou, Nový Jičín, </w:t>
      </w:r>
      <w:proofErr w:type="spellStart"/>
      <w:r w:rsidR="00363B73" w:rsidRPr="00102BAD">
        <w:rPr>
          <w:bCs/>
          <w:iCs/>
          <w:szCs w:val="24"/>
        </w:rPr>
        <w:t>Kozlov</w:t>
      </w:r>
      <w:proofErr w:type="spellEnd"/>
      <w:r w:rsidR="00363B73" w:rsidRPr="00102BAD">
        <w:rPr>
          <w:szCs w:val="24"/>
        </w:rPr>
        <w:t xml:space="preserve">. Jedná se o </w:t>
      </w:r>
      <w:r w:rsidR="00363B73" w:rsidRPr="00102BAD">
        <w:rPr>
          <w:bCs/>
          <w:szCs w:val="24"/>
        </w:rPr>
        <w:t>kontrolu plynových</w:t>
      </w:r>
      <w:r w:rsidR="00363B73">
        <w:rPr>
          <w:b/>
          <w:bCs/>
        </w:rPr>
        <w:t xml:space="preserve"> </w:t>
      </w:r>
      <w:r w:rsidR="00363B73" w:rsidRPr="00102BAD">
        <w:rPr>
          <w:bCs/>
          <w:szCs w:val="24"/>
        </w:rPr>
        <w:t xml:space="preserve">kotlů a ohřívačů TUV zn. </w:t>
      </w:r>
      <w:proofErr w:type="spellStart"/>
      <w:r w:rsidR="00363B73" w:rsidRPr="00102BAD">
        <w:rPr>
          <w:bCs/>
          <w:szCs w:val="24"/>
        </w:rPr>
        <w:t>Viadrus</w:t>
      </w:r>
      <w:proofErr w:type="spellEnd"/>
      <w:r w:rsidR="00363B73" w:rsidRPr="00102BAD">
        <w:rPr>
          <w:bCs/>
          <w:szCs w:val="24"/>
        </w:rPr>
        <w:t xml:space="preserve">, </w:t>
      </w:r>
      <w:proofErr w:type="spellStart"/>
      <w:r w:rsidR="00363B73" w:rsidRPr="00102BAD">
        <w:rPr>
          <w:bCs/>
          <w:szCs w:val="24"/>
        </w:rPr>
        <w:t>Viessmann</w:t>
      </w:r>
      <w:proofErr w:type="spellEnd"/>
      <w:r w:rsidR="00363B73" w:rsidRPr="00102BAD">
        <w:rPr>
          <w:bCs/>
          <w:szCs w:val="24"/>
        </w:rPr>
        <w:t xml:space="preserve">, </w:t>
      </w:r>
      <w:proofErr w:type="spellStart"/>
      <w:r w:rsidR="00363B73" w:rsidRPr="00102BAD">
        <w:rPr>
          <w:bCs/>
          <w:szCs w:val="24"/>
        </w:rPr>
        <w:t>Destila</w:t>
      </w:r>
      <w:proofErr w:type="spellEnd"/>
      <w:r w:rsidR="00363B73" w:rsidRPr="00102BAD">
        <w:rPr>
          <w:bCs/>
          <w:szCs w:val="24"/>
        </w:rPr>
        <w:t xml:space="preserve">, </w:t>
      </w:r>
      <w:proofErr w:type="spellStart"/>
      <w:r w:rsidR="00363B73" w:rsidRPr="00102BAD">
        <w:rPr>
          <w:bCs/>
          <w:szCs w:val="24"/>
        </w:rPr>
        <w:t>Feroli</w:t>
      </w:r>
      <w:proofErr w:type="spellEnd"/>
      <w:r w:rsidR="00363B73" w:rsidRPr="00102BAD">
        <w:rPr>
          <w:bCs/>
          <w:szCs w:val="24"/>
        </w:rPr>
        <w:t xml:space="preserve">, </w:t>
      </w:r>
      <w:proofErr w:type="spellStart"/>
      <w:r w:rsidR="00363B73" w:rsidRPr="00102BAD">
        <w:rPr>
          <w:bCs/>
          <w:szCs w:val="24"/>
        </w:rPr>
        <w:t>Feromat</w:t>
      </w:r>
      <w:proofErr w:type="spellEnd"/>
      <w:r w:rsidR="00363B73" w:rsidRPr="00102BAD">
        <w:rPr>
          <w:bCs/>
          <w:szCs w:val="24"/>
        </w:rPr>
        <w:t xml:space="preserve">, TVZ Star, </w:t>
      </w:r>
      <w:proofErr w:type="spellStart"/>
      <w:r w:rsidR="00363B73" w:rsidRPr="00102BAD">
        <w:rPr>
          <w:bCs/>
          <w:szCs w:val="24"/>
        </w:rPr>
        <w:t>Hydrotherm</w:t>
      </w:r>
      <w:proofErr w:type="spellEnd"/>
      <w:r w:rsidR="00363B73" w:rsidRPr="00102BAD">
        <w:rPr>
          <w:bCs/>
          <w:szCs w:val="24"/>
        </w:rPr>
        <w:t xml:space="preserve">, </w:t>
      </w:r>
      <w:proofErr w:type="spellStart"/>
      <w:r w:rsidR="00363B73" w:rsidRPr="00102BAD">
        <w:rPr>
          <w:bCs/>
          <w:szCs w:val="24"/>
        </w:rPr>
        <w:t>Rendamax</w:t>
      </w:r>
      <w:proofErr w:type="spellEnd"/>
      <w:r w:rsidR="00363B73" w:rsidRPr="00102BAD">
        <w:rPr>
          <w:bCs/>
          <w:szCs w:val="24"/>
        </w:rPr>
        <w:t xml:space="preserve">, </w:t>
      </w:r>
      <w:proofErr w:type="spellStart"/>
      <w:r w:rsidR="00363B73" w:rsidRPr="00102BAD">
        <w:rPr>
          <w:bCs/>
          <w:szCs w:val="24"/>
        </w:rPr>
        <w:t>Therm</w:t>
      </w:r>
      <w:proofErr w:type="spellEnd"/>
      <w:r w:rsidR="00363B73" w:rsidRPr="00102BAD">
        <w:rPr>
          <w:bCs/>
          <w:szCs w:val="24"/>
        </w:rPr>
        <w:t xml:space="preserve">, </w:t>
      </w:r>
      <w:proofErr w:type="spellStart"/>
      <w:r w:rsidR="00363B73" w:rsidRPr="00102BAD">
        <w:rPr>
          <w:bCs/>
          <w:szCs w:val="24"/>
        </w:rPr>
        <w:t>Dakon</w:t>
      </w:r>
      <w:proofErr w:type="spellEnd"/>
      <w:r w:rsidR="00363B73" w:rsidRPr="00102BAD">
        <w:rPr>
          <w:bCs/>
          <w:szCs w:val="24"/>
        </w:rPr>
        <w:t xml:space="preserve">, Junkers, </w:t>
      </w:r>
      <w:proofErr w:type="spellStart"/>
      <w:r w:rsidR="00363B73" w:rsidRPr="00102BAD">
        <w:rPr>
          <w:bCs/>
          <w:szCs w:val="24"/>
        </w:rPr>
        <w:t>Thermona</w:t>
      </w:r>
      <w:proofErr w:type="spellEnd"/>
      <w:r w:rsidR="00363B73" w:rsidRPr="00102BAD">
        <w:rPr>
          <w:bCs/>
          <w:szCs w:val="24"/>
        </w:rPr>
        <w:t xml:space="preserve">, </w:t>
      </w:r>
      <w:proofErr w:type="spellStart"/>
      <w:r w:rsidR="00363B73" w:rsidRPr="00102BAD">
        <w:rPr>
          <w:bCs/>
          <w:szCs w:val="24"/>
        </w:rPr>
        <w:t>Eko</w:t>
      </w:r>
      <w:proofErr w:type="spellEnd"/>
      <w:r w:rsidR="00363B73" w:rsidRPr="00102BAD">
        <w:rPr>
          <w:bCs/>
          <w:szCs w:val="24"/>
        </w:rPr>
        <w:t xml:space="preserve"> Odra, Hem, EV, kotle PV Roučka HVS 12, kotel VSB IV, BAXI, </w:t>
      </w:r>
      <w:proofErr w:type="spellStart"/>
      <w:r w:rsidR="00363B73" w:rsidRPr="00102BAD">
        <w:rPr>
          <w:bCs/>
          <w:szCs w:val="24"/>
        </w:rPr>
        <w:t>Protherm</w:t>
      </w:r>
      <w:proofErr w:type="spellEnd"/>
      <w:r w:rsidR="00363B73" w:rsidRPr="00102BAD">
        <w:rPr>
          <w:bCs/>
          <w:szCs w:val="24"/>
        </w:rPr>
        <w:t xml:space="preserve">, </w:t>
      </w:r>
      <w:proofErr w:type="spellStart"/>
      <w:r w:rsidR="00363B73" w:rsidRPr="00102BAD">
        <w:rPr>
          <w:bCs/>
          <w:szCs w:val="24"/>
        </w:rPr>
        <w:t>Quadriga</w:t>
      </w:r>
      <w:proofErr w:type="spellEnd"/>
      <w:r w:rsidR="00363B73" w:rsidRPr="00102BAD">
        <w:rPr>
          <w:bCs/>
          <w:szCs w:val="24"/>
        </w:rPr>
        <w:t xml:space="preserve">, Q7, </w:t>
      </w:r>
      <w:proofErr w:type="spellStart"/>
      <w:r w:rsidR="00363B73" w:rsidRPr="00102BAD">
        <w:rPr>
          <w:bCs/>
          <w:szCs w:val="24"/>
        </w:rPr>
        <w:t>Quantum</w:t>
      </w:r>
      <w:proofErr w:type="spellEnd"/>
      <w:r w:rsidR="00363B73" w:rsidRPr="00102BAD">
        <w:rPr>
          <w:bCs/>
          <w:szCs w:val="24"/>
        </w:rPr>
        <w:t xml:space="preserve">, </w:t>
      </w:r>
      <w:proofErr w:type="spellStart"/>
      <w:r w:rsidR="00363B73" w:rsidRPr="00102BAD">
        <w:rPr>
          <w:bCs/>
          <w:szCs w:val="24"/>
        </w:rPr>
        <w:t>Heat</w:t>
      </w:r>
      <w:proofErr w:type="spellEnd"/>
      <w:r w:rsidR="00363B73" w:rsidRPr="00102BAD">
        <w:rPr>
          <w:bCs/>
          <w:szCs w:val="24"/>
        </w:rPr>
        <w:t xml:space="preserve"> M, OVS </w:t>
      </w:r>
      <w:proofErr w:type="spellStart"/>
      <w:r w:rsidR="00363B73" w:rsidRPr="00102BAD">
        <w:rPr>
          <w:bCs/>
          <w:szCs w:val="24"/>
        </w:rPr>
        <w:t>Ariston</w:t>
      </w:r>
      <w:proofErr w:type="spellEnd"/>
      <w:r w:rsidR="00363B73" w:rsidRPr="00102BAD">
        <w:rPr>
          <w:bCs/>
          <w:szCs w:val="24"/>
        </w:rPr>
        <w:t xml:space="preserve">, </w:t>
      </w:r>
      <w:proofErr w:type="spellStart"/>
      <w:r w:rsidR="00363B73" w:rsidRPr="00102BAD">
        <w:rPr>
          <w:bCs/>
          <w:szCs w:val="24"/>
        </w:rPr>
        <w:t>Hydrotherm</w:t>
      </w:r>
      <w:proofErr w:type="spellEnd"/>
      <w:r w:rsidR="00363B73" w:rsidRPr="00102BAD">
        <w:rPr>
          <w:bCs/>
          <w:szCs w:val="24"/>
        </w:rPr>
        <w:t xml:space="preserve"> GSX</w:t>
      </w:r>
      <w:r w:rsidR="00731325">
        <w:rPr>
          <w:szCs w:val="24"/>
        </w:rPr>
        <w:t xml:space="preserve">. </w:t>
      </w:r>
      <w:r w:rsidR="00363B73">
        <w:rPr>
          <w:szCs w:val="24"/>
        </w:rPr>
        <w:t>Specifikace kotlů je uvedena v příloze č. 1 smlouvy.</w:t>
      </w:r>
    </w:p>
    <w:p w:rsidR="00E54099" w:rsidRDefault="00E54099" w:rsidP="00E54099">
      <w:pPr>
        <w:spacing w:beforeLines="70" w:after="120"/>
        <w:jc w:val="both"/>
        <w:rPr>
          <w:b/>
          <w:bCs/>
          <w:sz w:val="24"/>
          <w:u w:val="single"/>
        </w:rPr>
      </w:pPr>
    </w:p>
    <w:p w:rsidR="00E54099" w:rsidRDefault="00E54099" w:rsidP="00E54099">
      <w:pPr>
        <w:spacing w:beforeLines="70" w:after="120"/>
        <w:jc w:val="both"/>
        <w:rPr>
          <w:b/>
          <w:bCs/>
          <w:sz w:val="24"/>
          <w:u w:val="single"/>
        </w:rPr>
      </w:pPr>
    </w:p>
    <w:p w:rsidR="00E54099" w:rsidRDefault="00E54099" w:rsidP="00E54099">
      <w:pPr>
        <w:spacing w:beforeLines="70" w:after="120"/>
        <w:jc w:val="both"/>
        <w:rPr>
          <w:b/>
          <w:bCs/>
          <w:sz w:val="24"/>
          <w:u w:val="single"/>
        </w:rPr>
      </w:pPr>
    </w:p>
    <w:p w:rsidR="00AE2642" w:rsidRDefault="00AE2642" w:rsidP="00E54099">
      <w:pPr>
        <w:spacing w:beforeLines="70" w:after="120"/>
        <w:jc w:val="both"/>
        <w:rPr>
          <w:b/>
          <w:bCs/>
          <w:u w:val="single"/>
        </w:rPr>
      </w:pPr>
      <w:r>
        <w:rPr>
          <w:b/>
          <w:bCs/>
          <w:sz w:val="24"/>
          <w:u w:val="single"/>
        </w:rPr>
        <w:lastRenderedPageBreak/>
        <w:t>Rozsah požadovaných prací:</w:t>
      </w:r>
      <w:r>
        <w:rPr>
          <w:b/>
          <w:bCs/>
          <w:u w:val="single"/>
        </w:rPr>
        <w:t xml:space="preserve"> </w:t>
      </w:r>
    </w:p>
    <w:p w:rsidR="00363B73" w:rsidRPr="001F6BFD" w:rsidRDefault="00363B73" w:rsidP="00363B73">
      <w:pPr>
        <w:jc w:val="both"/>
        <w:rPr>
          <w:b/>
          <w:bCs/>
          <w:iCs/>
          <w:sz w:val="24"/>
          <w:szCs w:val="24"/>
        </w:rPr>
      </w:pPr>
      <w:r w:rsidRPr="001F6BFD">
        <w:rPr>
          <w:b/>
          <w:bCs/>
          <w:iCs/>
          <w:sz w:val="24"/>
          <w:szCs w:val="24"/>
        </w:rPr>
        <w:t>Pravidelný roční servis plynových kotlů a ohřívačů zahrnuje:</w:t>
      </w:r>
    </w:p>
    <w:p w:rsidR="00363B73" w:rsidRPr="001F6BFD" w:rsidRDefault="00363B73" w:rsidP="00363B73">
      <w:pPr>
        <w:jc w:val="both"/>
        <w:rPr>
          <w:b/>
          <w:bCs/>
          <w:iCs/>
          <w:sz w:val="24"/>
          <w:szCs w:val="24"/>
        </w:rPr>
      </w:pPr>
    </w:p>
    <w:p w:rsidR="00363B73" w:rsidRPr="001F6BFD" w:rsidRDefault="00363B73" w:rsidP="00363B73">
      <w:pPr>
        <w:pStyle w:val="Default"/>
        <w:rPr>
          <w:b/>
          <w:u w:val="single"/>
        </w:rPr>
      </w:pPr>
      <w:r w:rsidRPr="001F6BFD">
        <w:rPr>
          <w:b/>
          <w:u w:val="single"/>
        </w:rPr>
        <w:t xml:space="preserve">ZÁVĚSNÉ KOTLE A KOTLOVÉ MODULY </w:t>
      </w:r>
    </w:p>
    <w:p w:rsidR="00363B73" w:rsidRPr="001F6BFD" w:rsidRDefault="00363B73" w:rsidP="00363B73">
      <w:pPr>
        <w:pStyle w:val="Default"/>
        <w:rPr>
          <w:b/>
          <w:u w:val="single"/>
        </w:rPr>
      </w:pPr>
    </w:p>
    <w:p w:rsidR="00363B73" w:rsidRPr="001F6BFD" w:rsidRDefault="00363B73" w:rsidP="00363B73">
      <w:pPr>
        <w:pStyle w:val="Default"/>
        <w:numPr>
          <w:ilvl w:val="0"/>
          <w:numId w:val="23"/>
        </w:numPr>
        <w:spacing w:after="33"/>
        <w:jc w:val="both"/>
      </w:pPr>
      <w:r w:rsidRPr="001F6BFD">
        <w:t xml:space="preserve">Provést seřízení expanzní nádoby. Vyčistit a zkontrolovat funkci automatického odvzdušňovacího ventilu a pojišťovacího ventilu </w:t>
      </w:r>
    </w:p>
    <w:p w:rsidR="00363B73" w:rsidRPr="001F6BFD" w:rsidRDefault="00363B73" w:rsidP="00363B73">
      <w:pPr>
        <w:pStyle w:val="Default"/>
        <w:numPr>
          <w:ilvl w:val="0"/>
          <w:numId w:val="23"/>
        </w:numPr>
        <w:spacing w:after="33"/>
        <w:jc w:val="both"/>
      </w:pPr>
      <w:r w:rsidRPr="001F6BFD">
        <w:t xml:space="preserve">Demontovat plynový hořák, zbavit ho všech nečistot (tlakově profouknout), provést vizuální kontrolu štěrbin hořáku, očistit trysky, dále očistit elektrody a primární výměník (spaliny-voda). Celou spalovací komoru vyčistit vysáním prachu. Před uzavřením spalovací komory seřídit vzdálenost elektrod. Zkontrolovat, není-li poškozena izolace vysokonapěťových kablíků (k elektrodám). </w:t>
      </w:r>
    </w:p>
    <w:p w:rsidR="00363B73" w:rsidRPr="001F6BFD" w:rsidRDefault="00363B73" w:rsidP="00363B73">
      <w:pPr>
        <w:pStyle w:val="Default"/>
        <w:numPr>
          <w:ilvl w:val="0"/>
          <w:numId w:val="23"/>
        </w:numPr>
        <w:spacing w:after="33"/>
        <w:jc w:val="both"/>
      </w:pPr>
      <w:r w:rsidRPr="001F6BFD">
        <w:t xml:space="preserve">U kotle s věčným plamenem vyčistit a seřídit pilotní hořák. </w:t>
      </w:r>
    </w:p>
    <w:p w:rsidR="00363B73" w:rsidRPr="001F6BFD" w:rsidRDefault="00363B73" w:rsidP="00363B73">
      <w:pPr>
        <w:pStyle w:val="Default"/>
        <w:numPr>
          <w:ilvl w:val="0"/>
          <w:numId w:val="23"/>
        </w:numPr>
        <w:spacing w:after="33"/>
        <w:jc w:val="both"/>
      </w:pPr>
      <w:r w:rsidRPr="001F6BFD">
        <w:t xml:space="preserve">Vyčistit ventilátor, v případě nánosu nečistot vyprat oběhové kolo v saponátové lázni, zkontrolovat těsnost </w:t>
      </w:r>
      <w:proofErr w:type="spellStart"/>
      <w:r w:rsidRPr="001F6BFD">
        <w:t>manostatových</w:t>
      </w:r>
      <w:proofErr w:type="spellEnd"/>
      <w:r w:rsidRPr="001F6BFD">
        <w:t xml:space="preserve"> hadiček, zbavit je kondenzátu nebo usazenin z něho a zkontrolovat seřízení </w:t>
      </w:r>
      <w:proofErr w:type="spellStart"/>
      <w:r w:rsidRPr="001F6BFD">
        <w:t>manostatu</w:t>
      </w:r>
      <w:proofErr w:type="spellEnd"/>
      <w:r w:rsidRPr="001F6BFD">
        <w:t xml:space="preserve">. </w:t>
      </w:r>
    </w:p>
    <w:p w:rsidR="00363B73" w:rsidRPr="001F6BFD" w:rsidRDefault="00363B73" w:rsidP="00363B73">
      <w:pPr>
        <w:pStyle w:val="Default"/>
        <w:numPr>
          <w:ilvl w:val="0"/>
          <w:numId w:val="23"/>
        </w:numPr>
        <w:spacing w:after="33"/>
        <w:jc w:val="both"/>
      </w:pPr>
      <w:r w:rsidRPr="001F6BFD">
        <w:t>U kotlů s ohřevem teplé užitkové vody, zejména v oblasti se značně znečištěnou užitkovou vodou a při sníženém účinku ohřevu provést odvápnění (proplach) sekundárního výměníku (voda-voda). Demontovat trojcestný ventil na díly a provést vyčištění veškerých vnitřních částí. Vyčistit vstupní síto užitkové vody.</w:t>
      </w:r>
    </w:p>
    <w:p w:rsidR="00363B73" w:rsidRPr="001F6BFD" w:rsidRDefault="00363B73" w:rsidP="00363B73">
      <w:pPr>
        <w:pStyle w:val="Default"/>
        <w:numPr>
          <w:ilvl w:val="0"/>
          <w:numId w:val="23"/>
        </w:numPr>
        <w:spacing w:after="33"/>
        <w:jc w:val="both"/>
      </w:pPr>
      <w:r w:rsidRPr="001F6BFD">
        <w:t>Zkontrolovat stav anody (případná vým</w:t>
      </w:r>
      <w:r>
        <w:t>ěna anody bude řešena po dohodě</w:t>
      </w:r>
      <w:r w:rsidRPr="001F6BFD">
        <w:t xml:space="preserve">). </w:t>
      </w:r>
    </w:p>
    <w:p w:rsidR="00363B73" w:rsidRPr="001F6BFD" w:rsidRDefault="00363B73" w:rsidP="00363B73">
      <w:pPr>
        <w:pStyle w:val="Default"/>
        <w:numPr>
          <w:ilvl w:val="0"/>
          <w:numId w:val="23"/>
        </w:numPr>
        <w:spacing w:after="33"/>
        <w:jc w:val="both"/>
      </w:pPr>
      <w:r w:rsidRPr="001F6BFD">
        <w:t xml:space="preserve">Ověřit správný odtah spalin se zápisem do protokolu. </w:t>
      </w:r>
    </w:p>
    <w:p w:rsidR="00363B73" w:rsidRPr="001F6BFD" w:rsidRDefault="00363B73" w:rsidP="00363B73">
      <w:pPr>
        <w:pStyle w:val="Default"/>
        <w:numPr>
          <w:ilvl w:val="0"/>
          <w:numId w:val="23"/>
        </w:numPr>
        <w:spacing w:after="33"/>
        <w:jc w:val="both"/>
      </w:pPr>
      <w:r w:rsidRPr="001F6BFD">
        <w:t xml:space="preserve">Zkontrolovat těsnost všech šroubovaných a letovaných spojů na vnitřním potrubí, zejména je nutné zkontrolovat těsnost připojení vedení plynu. Zkontrolovat dotažení konstrukčních spojů. </w:t>
      </w:r>
    </w:p>
    <w:p w:rsidR="00363B73" w:rsidRPr="001F6BFD" w:rsidRDefault="00363B73" w:rsidP="00363B73">
      <w:pPr>
        <w:pStyle w:val="Default"/>
        <w:numPr>
          <w:ilvl w:val="0"/>
          <w:numId w:val="23"/>
        </w:numPr>
        <w:spacing w:after="33"/>
        <w:jc w:val="both"/>
      </w:pPr>
      <w:r w:rsidRPr="001F6BFD">
        <w:t xml:space="preserve">Vyjmout plynový ventil a vysát nečistoty ze sítka na vstupní části, provést nastavení výkonu kotle, zkontrolovat činnost a funkce zapalování, zhášení celého zařízení, to je ovládacích a bezpečnostních prvků. </w:t>
      </w:r>
    </w:p>
    <w:p w:rsidR="00363B73" w:rsidRPr="001F6BFD" w:rsidRDefault="00363B73" w:rsidP="00363B73">
      <w:pPr>
        <w:pStyle w:val="Default"/>
        <w:numPr>
          <w:ilvl w:val="0"/>
          <w:numId w:val="23"/>
        </w:numPr>
        <w:spacing w:after="33"/>
        <w:jc w:val="both"/>
      </w:pPr>
      <w:r w:rsidRPr="001F6BFD">
        <w:t xml:space="preserve">Provést orientační kontrolu elektroinstalace (např. není-li poškozena izolace, nevisí-li někde volné kabely atd., zvláště všech spojů ochranného vodiče. </w:t>
      </w:r>
    </w:p>
    <w:p w:rsidR="00363B73" w:rsidRPr="001F6BFD" w:rsidRDefault="00363B73" w:rsidP="00363B73">
      <w:pPr>
        <w:pStyle w:val="Default"/>
        <w:numPr>
          <w:ilvl w:val="0"/>
          <w:numId w:val="23"/>
        </w:numPr>
        <w:spacing w:after="33"/>
        <w:jc w:val="both"/>
      </w:pPr>
      <w:r w:rsidRPr="001F6BFD">
        <w:t>Demontovat primární výměník (spaliny-voda), jeho lamely prostříkat tlakem vody a ponořením lamel do saponátového roztoku, provést očištění. Vnitřní část výměníku pročistit tlakovou vodou (proti směru oběhu otopné vody). V případě silného znečištění vnitřní části výměníku (krusty) provést čištění chemické (např. DETEXEM). Při chemickém čištění na straně užitkové vody je nutno provést po jeho ukončení neutralizaci.</w:t>
      </w:r>
    </w:p>
    <w:p w:rsidR="00363B73" w:rsidRPr="001F6BFD" w:rsidRDefault="00363B73" w:rsidP="00363B73">
      <w:pPr>
        <w:pStyle w:val="Default"/>
        <w:numPr>
          <w:ilvl w:val="0"/>
          <w:numId w:val="23"/>
        </w:numPr>
        <w:jc w:val="both"/>
      </w:pPr>
      <w:r w:rsidRPr="001F6BFD">
        <w:t xml:space="preserve">Provést demontáž motorové části oběhového čerpadla, očistit jeho oběžné kolo a třecí plochy statoru a rotoru. </w:t>
      </w:r>
    </w:p>
    <w:p w:rsidR="00363B73" w:rsidRPr="001F6BFD" w:rsidRDefault="00363B73" w:rsidP="00363B73">
      <w:pPr>
        <w:pStyle w:val="Default"/>
      </w:pPr>
    </w:p>
    <w:p w:rsidR="00363B73" w:rsidRPr="001F6BFD" w:rsidRDefault="00363B73" w:rsidP="00363B73">
      <w:pPr>
        <w:pStyle w:val="Default"/>
        <w:rPr>
          <w:b/>
          <w:u w:val="single"/>
        </w:rPr>
      </w:pPr>
      <w:r w:rsidRPr="001F6BFD">
        <w:rPr>
          <w:b/>
          <w:u w:val="single"/>
        </w:rPr>
        <w:t xml:space="preserve">STACIONÁRNÍ A KONDENZAČNÍ KOTLE </w:t>
      </w:r>
    </w:p>
    <w:p w:rsidR="00363B73" w:rsidRPr="001F6BFD" w:rsidRDefault="00363B73" w:rsidP="00363B73">
      <w:pPr>
        <w:pStyle w:val="Default"/>
        <w:rPr>
          <w:b/>
          <w:u w:val="single"/>
        </w:rPr>
      </w:pPr>
    </w:p>
    <w:p w:rsidR="00363B73" w:rsidRPr="001F6BFD" w:rsidRDefault="00363B73" w:rsidP="00363B73">
      <w:pPr>
        <w:pStyle w:val="Default"/>
        <w:numPr>
          <w:ilvl w:val="0"/>
          <w:numId w:val="23"/>
        </w:numPr>
        <w:spacing w:after="33"/>
        <w:jc w:val="both"/>
      </w:pPr>
      <w:r w:rsidRPr="001F6BFD">
        <w:t xml:space="preserve">Demontovat držák hořáku, vyfoukat tlakově (kompresorem) nečistoty z hořákových trubic, provést vizuální kontrolu štěrbin hořáku. Očistit trysky. </w:t>
      </w:r>
    </w:p>
    <w:p w:rsidR="00363B73" w:rsidRPr="001F6BFD" w:rsidRDefault="00363B73" w:rsidP="00363B73">
      <w:pPr>
        <w:pStyle w:val="Default"/>
        <w:numPr>
          <w:ilvl w:val="0"/>
          <w:numId w:val="23"/>
        </w:numPr>
        <w:spacing w:after="33"/>
        <w:jc w:val="both"/>
      </w:pPr>
      <w:r w:rsidRPr="001F6BFD">
        <w:t xml:space="preserve">Očistit elektrody a provést jejich seřízení. Zkontrolovat izolaci vysokonapěťových kabelů k elektrodám. </w:t>
      </w:r>
    </w:p>
    <w:p w:rsidR="00363B73" w:rsidRPr="001F6BFD" w:rsidRDefault="00363B73" w:rsidP="00363B73">
      <w:pPr>
        <w:pStyle w:val="Default"/>
        <w:numPr>
          <w:ilvl w:val="0"/>
          <w:numId w:val="23"/>
        </w:numPr>
        <w:spacing w:after="33"/>
        <w:jc w:val="both"/>
      </w:pPr>
      <w:r w:rsidRPr="001F6BFD">
        <w:t xml:space="preserve">U kotlů s věčným plamínek vyčistit a seřídit pilotní hořák. </w:t>
      </w:r>
    </w:p>
    <w:p w:rsidR="00363B73" w:rsidRPr="001F6BFD" w:rsidRDefault="00363B73" w:rsidP="00363B73">
      <w:pPr>
        <w:pStyle w:val="Default"/>
        <w:numPr>
          <w:ilvl w:val="0"/>
          <w:numId w:val="23"/>
        </w:numPr>
        <w:spacing w:after="33"/>
        <w:jc w:val="both"/>
      </w:pPr>
      <w:r w:rsidRPr="001F6BFD">
        <w:t xml:space="preserve">Zkontrolovat průchodnost litinového kotlového výměníku. </w:t>
      </w:r>
    </w:p>
    <w:p w:rsidR="00363B73" w:rsidRPr="001F6BFD" w:rsidRDefault="00363B73" w:rsidP="00363B73">
      <w:pPr>
        <w:pStyle w:val="Default"/>
        <w:numPr>
          <w:ilvl w:val="0"/>
          <w:numId w:val="23"/>
        </w:numPr>
        <w:spacing w:after="33"/>
        <w:jc w:val="both"/>
      </w:pPr>
      <w:r w:rsidRPr="001F6BFD">
        <w:t xml:space="preserve">Ověřit správný odtah spalin se zápisem do protokolu. </w:t>
      </w:r>
    </w:p>
    <w:p w:rsidR="00363B73" w:rsidRPr="001F6BFD" w:rsidRDefault="00363B73" w:rsidP="00363B73">
      <w:pPr>
        <w:pStyle w:val="Default"/>
        <w:numPr>
          <w:ilvl w:val="0"/>
          <w:numId w:val="23"/>
        </w:numPr>
        <w:spacing w:after="33"/>
        <w:jc w:val="both"/>
      </w:pPr>
      <w:r w:rsidRPr="001F6BFD">
        <w:lastRenderedPageBreak/>
        <w:t xml:space="preserve">Vyjmout plynový ventil a vysát nečistoty ze sítka na vstupní části. Po zpětné montáži seřídit tlak plynu a prověřit spotřebu plynu při maximálním a minimálním výkonu. Prověřit těsnost plynového vedení. </w:t>
      </w:r>
    </w:p>
    <w:p w:rsidR="00363B73" w:rsidRPr="001F6BFD" w:rsidRDefault="00363B73" w:rsidP="00363B73">
      <w:pPr>
        <w:pStyle w:val="Default"/>
        <w:numPr>
          <w:ilvl w:val="0"/>
          <w:numId w:val="23"/>
        </w:numPr>
        <w:spacing w:after="33"/>
        <w:jc w:val="both"/>
      </w:pPr>
      <w:r w:rsidRPr="001F6BFD">
        <w:t xml:space="preserve">Provést orientační kontrolu elektroinstalace, zvláště všech spojů ochranného vodiče </w:t>
      </w:r>
    </w:p>
    <w:p w:rsidR="00363B73" w:rsidRPr="001F6BFD" w:rsidRDefault="00363B73" w:rsidP="00363B73">
      <w:pPr>
        <w:pStyle w:val="Default"/>
        <w:numPr>
          <w:ilvl w:val="0"/>
          <w:numId w:val="23"/>
        </w:numPr>
        <w:spacing w:after="33"/>
        <w:jc w:val="both"/>
      </w:pPr>
      <w:r w:rsidRPr="001F6BFD">
        <w:t xml:space="preserve">U kotlů vyčistit čerpadla a provést kontrolu pojistného ventilu. </w:t>
      </w:r>
    </w:p>
    <w:p w:rsidR="00363B73" w:rsidRPr="001F6BFD" w:rsidRDefault="00363B73" w:rsidP="00363B73">
      <w:pPr>
        <w:pStyle w:val="Default"/>
        <w:numPr>
          <w:ilvl w:val="0"/>
          <w:numId w:val="23"/>
        </w:numPr>
        <w:spacing w:after="33"/>
        <w:jc w:val="both"/>
      </w:pPr>
      <w:r w:rsidRPr="001F6BFD">
        <w:t xml:space="preserve">Zkontrolovat a případně doplnit tlaky v expanzních nádobách. </w:t>
      </w:r>
    </w:p>
    <w:p w:rsidR="00363B73" w:rsidRPr="001F6BFD" w:rsidRDefault="00363B73" w:rsidP="00363B73">
      <w:pPr>
        <w:pStyle w:val="Default"/>
        <w:numPr>
          <w:ilvl w:val="0"/>
          <w:numId w:val="23"/>
        </w:numPr>
        <w:spacing w:after="33"/>
        <w:jc w:val="both"/>
      </w:pPr>
      <w:r w:rsidRPr="001F6BFD">
        <w:t xml:space="preserve">U kondenzačního kotle vyčistit spalovací prostor nerezového výměníku, vyčistit sifon, provést jeho zavodnění a zkontrolovat těsnost odvodu kondenzátu. </w:t>
      </w:r>
    </w:p>
    <w:p w:rsidR="00363B73" w:rsidRPr="001F6BFD" w:rsidRDefault="00363B73" w:rsidP="00363B73">
      <w:pPr>
        <w:pStyle w:val="Default"/>
        <w:numPr>
          <w:ilvl w:val="0"/>
          <w:numId w:val="23"/>
        </w:numPr>
        <w:jc w:val="both"/>
      </w:pPr>
      <w:r w:rsidRPr="001F6BFD">
        <w:t xml:space="preserve">Provést kontrolu a nastavit CO2. </w:t>
      </w:r>
    </w:p>
    <w:p w:rsidR="00363B73" w:rsidRPr="001F6BFD" w:rsidRDefault="00363B73" w:rsidP="00363B73">
      <w:pPr>
        <w:pStyle w:val="Default"/>
      </w:pPr>
    </w:p>
    <w:p w:rsidR="00363B73" w:rsidRPr="001F6BFD" w:rsidRDefault="00363B73" w:rsidP="00363B73">
      <w:pPr>
        <w:pStyle w:val="Default"/>
        <w:rPr>
          <w:b/>
          <w:u w:val="single"/>
        </w:rPr>
      </w:pPr>
      <w:r w:rsidRPr="001F6BFD">
        <w:rPr>
          <w:b/>
          <w:u w:val="single"/>
        </w:rPr>
        <w:t xml:space="preserve">KOTLE S </w:t>
      </w:r>
      <w:proofErr w:type="gramStart"/>
      <w:r w:rsidRPr="001F6BFD">
        <w:rPr>
          <w:b/>
          <w:u w:val="single"/>
        </w:rPr>
        <w:t>TLAKOVÝMI  HOŘÁKY</w:t>
      </w:r>
      <w:proofErr w:type="gramEnd"/>
      <w:r w:rsidRPr="001F6BFD">
        <w:rPr>
          <w:b/>
          <w:u w:val="single"/>
        </w:rPr>
        <w:t xml:space="preserve"> </w:t>
      </w:r>
    </w:p>
    <w:p w:rsidR="00363B73" w:rsidRPr="001F6BFD" w:rsidRDefault="00363B73" w:rsidP="00363B73">
      <w:pPr>
        <w:pStyle w:val="Default"/>
        <w:rPr>
          <w:b/>
          <w:u w:val="single"/>
        </w:rPr>
      </w:pPr>
    </w:p>
    <w:p w:rsidR="00363B73" w:rsidRPr="001F6BFD" w:rsidRDefault="00363B73" w:rsidP="00363B73">
      <w:pPr>
        <w:pStyle w:val="Default"/>
        <w:numPr>
          <w:ilvl w:val="0"/>
          <w:numId w:val="23"/>
        </w:numPr>
        <w:spacing w:after="28"/>
      </w:pPr>
      <w:r w:rsidRPr="001F6BFD">
        <w:t xml:space="preserve">Vyčištění tlakového prostoru kotlového tělesa a kontrola jeho průchodnosti. </w:t>
      </w:r>
    </w:p>
    <w:p w:rsidR="00363B73" w:rsidRPr="001F6BFD" w:rsidRDefault="00363B73" w:rsidP="00363B73">
      <w:pPr>
        <w:pStyle w:val="Default"/>
        <w:numPr>
          <w:ilvl w:val="0"/>
          <w:numId w:val="23"/>
        </w:numPr>
        <w:spacing w:after="28"/>
      </w:pPr>
      <w:r w:rsidRPr="001F6BFD">
        <w:t xml:space="preserve">Ověřit správný odtah spalin se zápisem do protokolu. </w:t>
      </w:r>
    </w:p>
    <w:p w:rsidR="00363B73" w:rsidRPr="001F6BFD" w:rsidRDefault="00363B73" w:rsidP="00363B73">
      <w:pPr>
        <w:pStyle w:val="Default"/>
        <w:numPr>
          <w:ilvl w:val="0"/>
          <w:numId w:val="23"/>
        </w:numPr>
        <w:spacing w:after="28"/>
      </w:pPr>
      <w:r w:rsidRPr="001F6BFD">
        <w:t xml:space="preserve">Seřízení hořáku na parametry uváděné výrobcem. </w:t>
      </w:r>
    </w:p>
    <w:p w:rsidR="00363B73" w:rsidRPr="001F6BFD" w:rsidRDefault="00363B73" w:rsidP="00363B73">
      <w:pPr>
        <w:pStyle w:val="Default"/>
        <w:numPr>
          <w:ilvl w:val="0"/>
          <w:numId w:val="23"/>
        </w:numPr>
        <w:spacing w:after="28"/>
      </w:pPr>
      <w:r w:rsidRPr="001F6BFD">
        <w:t xml:space="preserve">Provést orientační kontrolu elektroinstalace, zvláště spojů ochranného vodiče. </w:t>
      </w:r>
    </w:p>
    <w:p w:rsidR="00363B73" w:rsidRPr="001F6BFD" w:rsidRDefault="00363B73" w:rsidP="00363B73">
      <w:pPr>
        <w:pStyle w:val="Default"/>
        <w:numPr>
          <w:ilvl w:val="0"/>
          <w:numId w:val="23"/>
        </w:numPr>
      </w:pPr>
      <w:r w:rsidRPr="001F6BFD">
        <w:t xml:space="preserve">Kontrola funkcí bezpečnostních prvků. </w:t>
      </w:r>
    </w:p>
    <w:p w:rsidR="00363B73" w:rsidRPr="001F6BFD" w:rsidRDefault="00363B73" w:rsidP="00363B73">
      <w:pPr>
        <w:pStyle w:val="Default"/>
      </w:pPr>
    </w:p>
    <w:p w:rsidR="00363B73" w:rsidRPr="001F6BFD" w:rsidRDefault="00363B73" w:rsidP="00363B73">
      <w:pPr>
        <w:pStyle w:val="Default"/>
      </w:pPr>
      <w:r w:rsidRPr="001F6BFD">
        <w:t>Předání protokolů o provedené kontrole, doložit výsledek nastavení hořáků - měření spalování, měření tahu. Uvést případné závady u jednotlivých spotřebičů.</w:t>
      </w:r>
    </w:p>
    <w:p w:rsidR="00363B73" w:rsidRPr="006175D5" w:rsidRDefault="00363B73" w:rsidP="00363B73">
      <w:pPr>
        <w:jc w:val="both"/>
        <w:rPr>
          <w:bCs/>
          <w:iCs/>
          <w:color w:val="000000"/>
          <w:sz w:val="24"/>
          <w:szCs w:val="24"/>
        </w:rPr>
      </w:pPr>
    </w:p>
    <w:p w:rsidR="00FD4896" w:rsidRDefault="00FD4896" w:rsidP="00557C70">
      <w:pPr>
        <w:pStyle w:val="Zkladntext"/>
        <w:spacing w:before="0"/>
        <w:jc w:val="both"/>
        <w:rPr>
          <w:rFonts w:ascii="Times New Roman" w:hAnsi="Times New Roman"/>
          <w:b w:val="0"/>
          <w:bCs/>
          <w:i w:val="0"/>
          <w:iCs/>
        </w:rPr>
      </w:pPr>
    </w:p>
    <w:p w:rsidR="00AE2642" w:rsidRDefault="00F866AD" w:rsidP="00E54099">
      <w:pPr>
        <w:shd w:val="clear" w:color="00FFFF" w:fill="auto"/>
        <w:spacing w:beforeLines="20"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E54099">
      <w:pPr>
        <w:shd w:val="clear" w:color="00FFFF" w:fill="auto"/>
        <w:tabs>
          <w:tab w:val="left" w:pos="4253"/>
          <w:tab w:val="right" w:pos="5670"/>
        </w:tabs>
        <w:spacing w:beforeLines="20"/>
        <w:jc w:val="both"/>
        <w:rPr>
          <w:sz w:val="24"/>
        </w:rPr>
      </w:pPr>
      <w:r w:rsidRPr="00CE5FEE">
        <w:rPr>
          <w:sz w:val="24"/>
        </w:rPr>
        <w:t>Termín zahájení</w:t>
      </w:r>
      <w:r w:rsidR="008A3DED" w:rsidRPr="00CE5FEE">
        <w:rPr>
          <w:sz w:val="24"/>
        </w:rPr>
        <w:t>:</w:t>
      </w:r>
      <w:r w:rsidR="008A3DED" w:rsidRPr="00CE5FEE">
        <w:rPr>
          <w:sz w:val="24"/>
        </w:rPr>
        <w:tab/>
      </w:r>
      <w:r w:rsidR="00C56DD3">
        <w:rPr>
          <w:sz w:val="24"/>
        </w:rPr>
        <w:t xml:space="preserve">ihned po podpisu </w:t>
      </w:r>
      <w:proofErr w:type="spellStart"/>
      <w:r w:rsidR="00C56DD3">
        <w:rPr>
          <w:sz w:val="24"/>
        </w:rPr>
        <w:t>SoD</w:t>
      </w:r>
      <w:proofErr w:type="spellEnd"/>
    </w:p>
    <w:p w:rsidR="00AE2642" w:rsidRPr="00CE5FEE" w:rsidRDefault="00AE2642" w:rsidP="00E54099">
      <w:pPr>
        <w:shd w:val="clear" w:color="00FFFF" w:fill="auto"/>
        <w:tabs>
          <w:tab w:val="left" w:pos="4253"/>
          <w:tab w:val="right" w:pos="5670"/>
        </w:tabs>
        <w:spacing w:beforeLines="20"/>
        <w:jc w:val="both"/>
        <w:rPr>
          <w:sz w:val="24"/>
        </w:rPr>
      </w:pPr>
      <w:r w:rsidRPr="00CE5FEE">
        <w:rPr>
          <w:sz w:val="24"/>
        </w:rPr>
        <w:t>Zhot</w:t>
      </w:r>
      <w:r w:rsidR="008A3DED" w:rsidRPr="00CE5FEE">
        <w:rPr>
          <w:sz w:val="24"/>
        </w:rPr>
        <w:t>ovitel se zavazuje předat dílo:</w:t>
      </w:r>
      <w:r w:rsidR="008A3DED" w:rsidRPr="00CE5FEE">
        <w:rPr>
          <w:sz w:val="24"/>
        </w:rPr>
        <w:tab/>
      </w:r>
      <w:r w:rsidR="00C56DD3">
        <w:rPr>
          <w:sz w:val="24"/>
        </w:rPr>
        <w:t>2</w:t>
      </w:r>
      <w:r w:rsidR="00363B73">
        <w:rPr>
          <w:sz w:val="24"/>
        </w:rPr>
        <w:t>7</w:t>
      </w:r>
      <w:r w:rsidR="0074567D" w:rsidRPr="00CE5FEE">
        <w:rPr>
          <w:sz w:val="24"/>
        </w:rPr>
        <w:t xml:space="preserve">. </w:t>
      </w:r>
      <w:r w:rsidR="00363B73">
        <w:rPr>
          <w:sz w:val="24"/>
        </w:rPr>
        <w:t>září</w:t>
      </w:r>
      <w:r w:rsidR="00C56DD3">
        <w:rPr>
          <w:sz w:val="24"/>
        </w:rPr>
        <w:t xml:space="preserve"> 2013</w:t>
      </w:r>
    </w:p>
    <w:p w:rsidR="00363B73" w:rsidRPr="005447D3" w:rsidRDefault="00AE2642" w:rsidP="00363B73">
      <w:pPr>
        <w:jc w:val="both"/>
        <w:rPr>
          <w:sz w:val="24"/>
          <w:szCs w:val="24"/>
        </w:rPr>
      </w:pPr>
      <w:r w:rsidRPr="00557C70">
        <w:rPr>
          <w:sz w:val="24"/>
          <w:szCs w:val="24"/>
        </w:rPr>
        <w:t>Míst</w:t>
      </w:r>
      <w:r w:rsidR="00363B73">
        <w:rPr>
          <w:sz w:val="24"/>
          <w:szCs w:val="24"/>
        </w:rPr>
        <w:t>y</w:t>
      </w:r>
      <w:r w:rsidRPr="00557C70">
        <w:rPr>
          <w:sz w:val="24"/>
          <w:szCs w:val="24"/>
        </w:rPr>
        <w:t xml:space="preserve"> plnění j</w:t>
      </w:r>
      <w:r w:rsidR="00363B73">
        <w:rPr>
          <w:sz w:val="24"/>
          <w:szCs w:val="24"/>
        </w:rPr>
        <w:t>sou</w:t>
      </w:r>
      <w:r w:rsidRPr="00557C70">
        <w:rPr>
          <w:sz w:val="24"/>
          <w:szCs w:val="24"/>
        </w:rPr>
        <w:t>:</w:t>
      </w:r>
      <w:r w:rsidR="00363B73">
        <w:rPr>
          <w:sz w:val="24"/>
          <w:szCs w:val="24"/>
        </w:rPr>
        <w:t xml:space="preserve"> </w:t>
      </w:r>
      <w:r w:rsidR="00363B73" w:rsidRPr="005447D3">
        <w:rPr>
          <w:sz w:val="24"/>
          <w:szCs w:val="24"/>
        </w:rPr>
        <w:t xml:space="preserve">Olomouc, </w:t>
      </w:r>
      <w:proofErr w:type="spellStart"/>
      <w:r w:rsidR="00363B73" w:rsidRPr="005447D3">
        <w:rPr>
          <w:sz w:val="24"/>
          <w:szCs w:val="24"/>
        </w:rPr>
        <w:t>Přáslavice</w:t>
      </w:r>
      <w:proofErr w:type="spellEnd"/>
      <w:r w:rsidR="00363B73" w:rsidRPr="005447D3">
        <w:rPr>
          <w:sz w:val="24"/>
          <w:szCs w:val="24"/>
        </w:rPr>
        <w:t xml:space="preserve">, Štěpánov, Hranice, Lipník n. Bečvou, Nový Jičín, Opava, </w:t>
      </w:r>
      <w:proofErr w:type="spellStart"/>
      <w:r w:rsidR="00363B73" w:rsidRPr="005447D3">
        <w:rPr>
          <w:sz w:val="24"/>
          <w:szCs w:val="24"/>
        </w:rPr>
        <w:t>Hlučín</w:t>
      </w:r>
      <w:proofErr w:type="spellEnd"/>
      <w:r w:rsidR="00363B73" w:rsidRPr="005447D3">
        <w:rPr>
          <w:sz w:val="24"/>
          <w:szCs w:val="24"/>
        </w:rPr>
        <w:t xml:space="preserve">, Ostrava – Stará Ves, Háj ve Slezsku, </w:t>
      </w:r>
      <w:proofErr w:type="spellStart"/>
      <w:r w:rsidR="00363B73" w:rsidRPr="005447D3">
        <w:rPr>
          <w:sz w:val="24"/>
          <w:szCs w:val="24"/>
        </w:rPr>
        <w:t>Kozlov</w:t>
      </w:r>
      <w:proofErr w:type="spellEnd"/>
      <w:r w:rsidR="00363B73" w:rsidRPr="005447D3">
        <w:rPr>
          <w:sz w:val="24"/>
          <w:szCs w:val="24"/>
        </w:rPr>
        <w:t>.</w:t>
      </w:r>
    </w:p>
    <w:p w:rsidR="00AB695B" w:rsidRDefault="00AB695B" w:rsidP="00E54099">
      <w:pPr>
        <w:pStyle w:val="Nadpis4"/>
        <w:keepNext w:val="0"/>
        <w:spacing w:beforeLines="20" w:after="120"/>
        <w:rPr>
          <w:rFonts w:ascii="Times New Roman" w:hAnsi="Times New Roman"/>
          <w:color w:val="auto"/>
          <w:szCs w:val="24"/>
        </w:rPr>
      </w:pPr>
    </w:p>
    <w:p w:rsidR="00AE2642" w:rsidRDefault="00F866AD" w:rsidP="00E54099">
      <w:pPr>
        <w:pStyle w:val="Nadpis4"/>
        <w:keepNext w:val="0"/>
        <w:spacing w:beforeLines="20"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proofErr w:type="gramStart"/>
      <w:r w:rsidR="00C56DD3" w:rsidRPr="00C56DD3">
        <w:rPr>
          <w:sz w:val="24"/>
          <w:szCs w:val="24"/>
          <w:highlight w:val="yellow"/>
        </w:rPr>
        <w:t>….</w:t>
      </w:r>
      <w:r w:rsidR="00842029" w:rsidRPr="00C56DD3">
        <w:rPr>
          <w:sz w:val="24"/>
          <w:szCs w:val="24"/>
          <w:highlight w:val="yellow"/>
        </w:rPr>
        <w:t>.</w:t>
      </w:r>
      <w:proofErr w:type="gramEnd"/>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E54099">
      <w:pPr>
        <w:spacing w:beforeLines="20"/>
        <w:jc w:val="both"/>
        <w:rPr>
          <w:sz w:val="24"/>
        </w:rPr>
      </w:pPr>
    </w:p>
    <w:p w:rsidR="00AE2642" w:rsidRDefault="00F866AD" w:rsidP="00E54099">
      <w:pPr>
        <w:spacing w:beforeLines="20" w:after="120"/>
        <w:jc w:val="center"/>
        <w:rPr>
          <w:b/>
          <w:caps/>
          <w:sz w:val="24"/>
          <w:u w:val="single"/>
        </w:rPr>
      </w:pPr>
      <w:r>
        <w:rPr>
          <w:b/>
          <w:caps/>
          <w:sz w:val="24"/>
          <w:u w:val="single"/>
        </w:rPr>
        <w:t xml:space="preserve">IV. </w:t>
      </w:r>
      <w:r w:rsidR="00AE2642">
        <w:rPr>
          <w:b/>
          <w:caps/>
          <w:sz w:val="24"/>
          <w:u w:val="single"/>
        </w:rPr>
        <w:t>platební a fakturační podmínky</w:t>
      </w:r>
    </w:p>
    <w:p w:rsidR="00AE2642" w:rsidRPr="007D4A64" w:rsidRDefault="00AE2642" w:rsidP="00E54099">
      <w:pPr>
        <w:numPr>
          <w:ilvl w:val="0"/>
          <w:numId w:val="2"/>
        </w:numPr>
        <w:tabs>
          <w:tab w:val="left" w:pos="0"/>
        </w:tabs>
        <w:spacing w:beforeLines="20"/>
        <w:jc w:val="both"/>
        <w:rPr>
          <w:sz w:val="24"/>
        </w:rPr>
      </w:pPr>
      <w:r>
        <w:rPr>
          <w:sz w:val="24"/>
        </w:rPr>
        <w:t>Objednatel zálohy neposkytuje.</w:t>
      </w:r>
    </w:p>
    <w:p w:rsidR="007853A6" w:rsidRPr="00C56DD3" w:rsidRDefault="007853A6" w:rsidP="00E54099">
      <w:pPr>
        <w:numPr>
          <w:ilvl w:val="0"/>
          <w:numId w:val="2"/>
        </w:numPr>
        <w:tabs>
          <w:tab w:val="left" w:pos="0"/>
        </w:tabs>
        <w:spacing w:beforeLines="20"/>
        <w:jc w:val="both"/>
        <w:rPr>
          <w:bCs/>
          <w:color w:val="FF0000"/>
          <w:sz w:val="24"/>
          <w:szCs w:val="24"/>
        </w:rPr>
      </w:pPr>
      <w:r w:rsidRPr="007853A6">
        <w:rPr>
          <w:sz w:val="24"/>
          <w:szCs w:val="24"/>
        </w:rPr>
        <w:t>Fakturace bude prov</w:t>
      </w:r>
      <w:r w:rsidR="00363B73">
        <w:rPr>
          <w:sz w:val="24"/>
          <w:szCs w:val="24"/>
        </w:rPr>
        <w:t>edena jednou fakturou po předání a převzetí díla</w:t>
      </w:r>
      <w:r w:rsidR="00C56DD3">
        <w:rPr>
          <w:sz w:val="24"/>
          <w:szCs w:val="24"/>
        </w:rPr>
        <w:t>.</w:t>
      </w:r>
    </w:p>
    <w:p w:rsidR="0075034C" w:rsidRDefault="0075034C" w:rsidP="00E54099">
      <w:pPr>
        <w:numPr>
          <w:ilvl w:val="0"/>
          <w:numId w:val="2"/>
        </w:numPr>
        <w:tabs>
          <w:tab w:val="left" w:pos="0"/>
        </w:tabs>
        <w:spacing w:beforeLines="20"/>
        <w:jc w:val="both"/>
        <w:rPr>
          <w:bCs/>
          <w:sz w:val="24"/>
        </w:rPr>
      </w:pPr>
      <w:r w:rsidRPr="00C067BB">
        <w:rPr>
          <w:bCs/>
          <w:sz w:val="24"/>
        </w:rPr>
        <w:t>Zhotovitel je povinen v předmětu fakturace uvést přesný název akce včetně čísla smlouvy. Jinak bude faktura vrácena zhotoviteli k doplnění.</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w:t>
      </w:r>
      <w:r w:rsidR="00E561ED">
        <w:rPr>
          <w:color w:val="000000"/>
          <w:sz w:val="24"/>
        </w:rPr>
        <w:t>protokolu o provedené kontrole</w:t>
      </w:r>
      <w:r>
        <w:rPr>
          <w:color w:val="000000"/>
          <w:sz w:val="24"/>
        </w:rPr>
        <w:t xml:space="preserve"> potvrzen</w:t>
      </w:r>
      <w:r w:rsidR="00E561ED">
        <w:rPr>
          <w:color w:val="000000"/>
          <w:sz w:val="24"/>
        </w:rPr>
        <w:t>ý</w:t>
      </w:r>
      <w:r>
        <w:rPr>
          <w:color w:val="000000"/>
          <w:sz w:val="24"/>
        </w:rPr>
        <w:t xml:space="preserve"> zástupc</w:t>
      </w:r>
      <w:r w:rsidR="00E561ED">
        <w:rPr>
          <w:color w:val="000000"/>
          <w:sz w:val="24"/>
        </w:rPr>
        <w:t>em</w:t>
      </w:r>
      <w:r>
        <w:rPr>
          <w:color w:val="000000"/>
          <w:sz w:val="24"/>
        </w:rPr>
        <w:t xml:space="preserve"> objednatele a zhotovitele). Adresa pro zaslání faktury: </w:t>
      </w:r>
      <w:r w:rsidR="00A87620">
        <w:rPr>
          <w:color w:val="000000"/>
          <w:sz w:val="24"/>
        </w:rPr>
        <w:t>Armádní Servisní, příspěvková organizace,</w:t>
      </w:r>
      <w:r w:rsidR="00690BCB">
        <w:rPr>
          <w:color w:val="000000"/>
          <w:sz w:val="24"/>
        </w:rPr>
        <w:t xml:space="preserve"> </w:t>
      </w:r>
      <w:proofErr w:type="spellStart"/>
      <w:r w:rsidR="00690BCB">
        <w:rPr>
          <w:color w:val="000000"/>
          <w:sz w:val="24"/>
        </w:rPr>
        <w:t>Podbabská</w:t>
      </w:r>
      <w:proofErr w:type="spellEnd"/>
      <w:r w:rsidR="00690BCB">
        <w:rPr>
          <w:color w:val="000000"/>
          <w:sz w:val="24"/>
        </w:rPr>
        <w:t xml:space="preserve"> 1589/1, 160 00 Praha </w:t>
      </w:r>
      <w:r w:rsidR="00A87620">
        <w:rPr>
          <w:color w:val="000000"/>
          <w:sz w:val="24"/>
        </w:rPr>
        <w:t>6</w:t>
      </w:r>
      <w:r>
        <w:rPr>
          <w:color w:val="000000"/>
          <w:sz w:val="24"/>
        </w:rPr>
        <w:t>.</w:t>
      </w:r>
    </w:p>
    <w:p w:rsidR="00AE2642" w:rsidRPr="00FA5036"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w:t>
      </w:r>
      <w:r>
        <w:rPr>
          <w:color w:val="000000"/>
          <w:sz w:val="24"/>
          <w:szCs w:val="24"/>
        </w:rPr>
        <w:lastRenderedPageBreak/>
        <w:t xml:space="preserve">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363B73" w:rsidRDefault="00363B73" w:rsidP="00E54099">
      <w:pPr>
        <w:pStyle w:val="Nadpis6"/>
        <w:spacing w:beforeLines="20" w:after="120"/>
        <w:rPr>
          <w:rFonts w:ascii="Times New Roman" w:hAnsi="Times New Roman"/>
        </w:rPr>
      </w:pPr>
    </w:p>
    <w:p w:rsidR="00AE2642" w:rsidRDefault="00F866AD" w:rsidP="00E54099">
      <w:pPr>
        <w:pStyle w:val="Nadpis6"/>
        <w:spacing w:beforeLines="20"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672836" w:rsidRDefault="00672836" w:rsidP="00E54099">
      <w:pPr>
        <w:pStyle w:val="Nadpis6"/>
        <w:keepNext w:val="0"/>
        <w:spacing w:beforeLines="20" w:after="120"/>
        <w:rPr>
          <w:rFonts w:ascii="Times New Roman" w:hAnsi="Times New Roman"/>
        </w:rPr>
      </w:pPr>
    </w:p>
    <w:p w:rsidR="00313A53" w:rsidRDefault="00F866AD" w:rsidP="00E54099">
      <w:pPr>
        <w:pStyle w:val="Nadpis6"/>
        <w:keepNext w:val="0"/>
        <w:spacing w:beforeLines="20" w:after="120"/>
        <w:rPr>
          <w:rFonts w:ascii="Times New Roman" w:hAnsi="Times New Roman"/>
        </w:rPr>
      </w:pPr>
      <w:r>
        <w:rPr>
          <w:rFonts w:ascii="Times New Roman" w:hAnsi="Times New Roman"/>
        </w:rPr>
        <w:t>VI.</w:t>
      </w:r>
      <w:r w:rsidR="00313A53">
        <w:rPr>
          <w:rFonts w:ascii="Times New Roman" w:hAnsi="Times New Roman"/>
        </w:rPr>
        <w:t xml:space="preserve"> ODPOVĚDNOST ZA VADY – ZÁRUKA</w:t>
      </w:r>
    </w:p>
    <w:p w:rsidR="00313A53" w:rsidRDefault="00313A53" w:rsidP="00E54099">
      <w:pPr>
        <w:pStyle w:val="Nadpis6"/>
        <w:keepNext w:val="0"/>
        <w:numPr>
          <w:ilvl w:val="0"/>
          <w:numId w:val="25"/>
        </w:numPr>
        <w:spacing w:beforeLines="20" w:after="120"/>
        <w:ind w:hanging="765"/>
        <w:jc w:val="left"/>
        <w:rPr>
          <w:rFonts w:ascii="Times New Roman" w:hAnsi="Times New Roman"/>
          <w:b w:val="0"/>
          <w:caps w:val="0"/>
          <w:u w:val="none"/>
        </w:rPr>
      </w:pPr>
      <w:r w:rsidRPr="00313A53">
        <w:rPr>
          <w:rFonts w:ascii="Times New Roman" w:hAnsi="Times New Roman"/>
          <w:b w:val="0"/>
          <w:caps w:val="0"/>
          <w:u w:val="none"/>
        </w:rPr>
        <w:t xml:space="preserve">Záruční doba na </w:t>
      </w:r>
      <w:r>
        <w:rPr>
          <w:rFonts w:ascii="Times New Roman" w:hAnsi="Times New Roman"/>
          <w:b w:val="0"/>
          <w:caps w:val="0"/>
          <w:u w:val="none"/>
        </w:rPr>
        <w:t xml:space="preserve">servisní práce </w:t>
      </w:r>
      <w:r w:rsidRPr="00313A53">
        <w:rPr>
          <w:rFonts w:ascii="Times New Roman" w:hAnsi="Times New Roman"/>
          <w:b w:val="0"/>
          <w:caps w:val="0"/>
          <w:u w:val="none"/>
        </w:rPr>
        <w:t xml:space="preserve">je </w:t>
      </w:r>
      <w:r w:rsidRPr="00313A53">
        <w:rPr>
          <w:rFonts w:ascii="Times New Roman" w:hAnsi="Times New Roman"/>
          <w:b w:val="0"/>
          <w:u w:val="none"/>
        </w:rPr>
        <w:t xml:space="preserve">6 </w:t>
      </w:r>
      <w:r w:rsidRPr="00313A53">
        <w:rPr>
          <w:rFonts w:ascii="Times New Roman" w:hAnsi="Times New Roman"/>
          <w:b w:val="0"/>
          <w:caps w:val="0"/>
          <w:u w:val="none"/>
        </w:rPr>
        <w:t xml:space="preserve">měsíců. </w:t>
      </w:r>
    </w:p>
    <w:p w:rsidR="00313A53" w:rsidRDefault="00313A53" w:rsidP="00313A53">
      <w:pPr>
        <w:numPr>
          <w:ilvl w:val="0"/>
          <w:numId w:val="25"/>
        </w:numPr>
        <w:spacing w:before="120"/>
        <w:ind w:hanging="765"/>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313A53" w:rsidRDefault="00313A53" w:rsidP="00313A53">
      <w:pPr>
        <w:numPr>
          <w:ilvl w:val="0"/>
          <w:numId w:val="25"/>
        </w:numPr>
        <w:spacing w:before="120"/>
        <w:ind w:hanging="765"/>
        <w:jc w:val="both"/>
        <w:rPr>
          <w:sz w:val="24"/>
        </w:rPr>
      </w:pPr>
      <w:r>
        <w:rPr>
          <w:sz w:val="24"/>
        </w:rPr>
        <w:t xml:space="preserve">V záruční době se odstraňují skryté vady zdarma. </w:t>
      </w:r>
    </w:p>
    <w:p w:rsidR="00313A53" w:rsidRDefault="00313A53" w:rsidP="00313A53">
      <w:pPr>
        <w:numPr>
          <w:ilvl w:val="0"/>
          <w:numId w:val="25"/>
        </w:numPr>
        <w:spacing w:before="120"/>
        <w:ind w:hanging="765"/>
        <w:jc w:val="both"/>
        <w:rPr>
          <w:sz w:val="24"/>
        </w:rPr>
      </w:pPr>
      <w:r>
        <w:rPr>
          <w:sz w:val="24"/>
        </w:rPr>
        <w:t>Objednatel se zavazuje, že případnou reklamaci vady díla uplatní bez zbytečného odkladu po jejím zjištění, písemně do rukou oprávněného zástupce zhotovitele.</w:t>
      </w:r>
    </w:p>
    <w:p w:rsidR="00313A53" w:rsidRDefault="00313A53" w:rsidP="00313A53">
      <w:pPr>
        <w:numPr>
          <w:ilvl w:val="0"/>
          <w:numId w:val="25"/>
        </w:numPr>
        <w:spacing w:before="120"/>
        <w:ind w:hanging="765"/>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313A53" w:rsidRPr="00313A53" w:rsidRDefault="00313A53" w:rsidP="00313A53"/>
    <w:p w:rsidR="00313A53" w:rsidRDefault="00313A53" w:rsidP="00E54099">
      <w:pPr>
        <w:pStyle w:val="Nadpis6"/>
        <w:keepNext w:val="0"/>
        <w:spacing w:beforeLines="20" w:after="120"/>
        <w:rPr>
          <w:rFonts w:ascii="Times New Roman" w:hAnsi="Times New Roman"/>
        </w:rPr>
      </w:pPr>
    </w:p>
    <w:p w:rsidR="00AE2642" w:rsidRDefault="00313A53" w:rsidP="00E54099">
      <w:pPr>
        <w:pStyle w:val="Nadpis6"/>
        <w:keepNext w:val="0"/>
        <w:spacing w:beforeLines="20"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197CB7" w:rsidRDefault="00197CB7" w:rsidP="00313A53">
      <w:pPr>
        <w:numPr>
          <w:ilvl w:val="0"/>
          <w:numId w:val="17"/>
        </w:numPr>
        <w:tabs>
          <w:tab w:val="clear" w:pos="1256"/>
          <w:tab w:val="num" w:pos="851"/>
        </w:tabs>
        <w:spacing w:before="120" w:after="120"/>
        <w:ind w:hanging="1256"/>
        <w:jc w:val="both"/>
        <w:rPr>
          <w:sz w:val="24"/>
        </w:rPr>
      </w:pPr>
      <w:r>
        <w:rPr>
          <w:sz w:val="24"/>
        </w:rPr>
        <w:t xml:space="preserve">Zhotovitel souhlasí se zveřejněním smlouvy na </w:t>
      </w:r>
      <w:hyperlink r:id="rId8" w:history="1">
        <w:r w:rsidRPr="00974A06">
          <w:rPr>
            <w:rStyle w:val="Hypertextovodkaz"/>
            <w:sz w:val="24"/>
          </w:rPr>
          <w:t>www.as-po.cz</w:t>
        </w:r>
      </w:hyperlink>
    </w:p>
    <w:p w:rsidR="00AE2642" w:rsidRDefault="00AE2642" w:rsidP="00E54099">
      <w:pPr>
        <w:shd w:val="clear" w:color="00FFFF" w:fill="auto"/>
        <w:spacing w:beforeLines="20"/>
        <w:jc w:val="center"/>
        <w:rPr>
          <w:b/>
          <w:sz w:val="24"/>
        </w:rPr>
      </w:pPr>
    </w:p>
    <w:p w:rsidR="00AE2642" w:rsidRDefault="00F866AD" w:rsidP="00E54099">
      <w:pPr>
        <w:pStyle w:val="Nadpis6"/>
        <w:keepNext w:val="0"/>
        <w:spacing w:beforeLines="20" w:after="120"/>
        <w:rPr>
          <w:rFonts w:ascii="Times New Roman" w:hAnsi="Times New Roman"/>
        </w:rPr>
      </w:pPr>
      <w:r>
        <w:rPr>
          <w:rFonts w:ascii="Times New Roman" w:hAnsi="Times New Roman"/>
        </w:rPr>
        <w:t>VI</w:t>
      </w:r>
      <w:r w:rsidR="00313A53">
        <w:rPr>
          <w:rFonts w:ascii="Times New Roman" w:hAnsi="Times New Roman"/>
        </w:rPr>
        <w:t>I</w:t>
      </w:r>
      <w:r>
        <w:rPr>
          <w:rFonts w:ascii="Times New Roman" w:hAnsi="Times New Roman"/>
        </w:rPr>
        <w:t xml:space="preserve">I. </w:t>
      </w:r>
      <w:r w:rsidR="00AE2642">
        <w:rPr>
          <w:rFonts w:ascii="Times New Roman" w:hAnsi="Times New Roman"/>
        </w:rPr>
        <w:t>PŘEDÁNÍ DÍLA</w:t>
      </w:r>
    </w:p>
    <w:p w:rsidR="00AE2642" w:rsidRPr="003E28CB" w:rsidRDefault="0075034C" w:rsidP="00313A53">
      <w:pPr>
        <w:pStyle w:val="Odstavecseseznamem"/>
        <w:numPr>
          <w:ilvl w:val="0"/>
          <w:numId w:val="24"/>
        </w:numPr>
        <w:shd w:val="clear" w:color="00FFFF" w:fill="auto"/>
        <w:ind w:left="851" w:hanging="851"/>
        <w:jc w:val="both"/>
        <w:rPr>
          <w:rFonts w:ascii="Times New Roman" w:hAnsi="Times New Roman"/>
          <w:sz w:val="24"/>
        </w:rPr>
      </w:pPr>
      <w:r w:rsidRPr="003E28CB">
        <w:rPr>
          <w:rFonts w:ascii="Times New Roman" w:hAnsi="Times New Roman"/>
          <w:sz w:val="24"/>
        </w:rPr>
        <w:t xml:space="preserve">Zhotovitel oznámí objednateli 7 dnů předem termín, kdy dílo bude dokončeno a připraveno k předání. </w:t>
      </w:r>
      <w:r w:rsidR="00E561ED" w:rsidRPr="003E28CB">
        <w:rPr>
          <w:rFonts w:ascii="Times New Roman" w:hAnsi="Times New Roman"/>
          <w:sz w:val="24"/>
        </w:rPr>
        <w:t>S předaným dílem budou předány protokoly o provedené kontrole a doložen výsledek nastavení hořáků.</w:t>
      </w:r>
    </w:p>
    <w:p w:rsidR="00197CB7" w:rsidRDefault="00197CB7" w:rsidP="007D4A64">
      <w:pPr>
        <w:shd w:val="clear" w:color="00FFFF" w:fill="auto"/>
        <w:jc w:val="both"/>
        <w:rPr>
          <w:sz w:val="24"/>
        </w:rPr>
      </w:pPr>
    </w:p>
    <w:p w:rsidR="00AE2642" w:rsidRPr="00A54045" w:rsidRDefault="00313A53" w:rsidP="00E54099">
      <w:pPr>
        <w:pStyle w:val="Nadpis6"/>
        <w:keepNext w:val="0"/>
        <w:spacing w:beforeLines="20" w:after="120"/>
        <w:rPr>
          <w:rFonts w:ascii="Times New Roman" w:hAnsi="Times New Roman"/>
        </w:rPr>
      </w:pPr>
      <w:r>
        <w:rPr>
          <w:rFonts w:ascii="Times New Roman" w:hAnsi="Times New Roman"/>
        </w:rPr>
        <w:t>IX</w:t>
      </w:r>
      <w:r w:rsidR="00E561ED">
        <w:rPr>
          <w:rFonts w:ascii="Times New Roman" w:hAnsi="Times New Roman"/>
        </w:rPr>
        <w:t>.</w:t>
      </w:r>
      <w:r w:rsidR="00F866AD">
        <w:rPr>
          <w:rFonts w:ascii="Times New Roman" w:hAnsi="Times New Roman"/>
        </w:rPr>
        <w:t xml:space="preserve">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Default="007D4A64" w:rsidP="007D4A64"/>
    <w:p w:rsidR="00313A53" w:rsidRDefault="00313A53" w:rsidP="007D4A64"/>
    <w:p w:rsidR="00AE2642" w:rsidRPr="00A54045" w:rsidRDefault="00F866AD" w:rsidP="00E54099">
      <w:pPr>
        <w:pStyle w:val="Nadpis6"/>
        <w:keepNext w:val="0"/>
        <w:spacing w:beforeLines="20"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rsidP="00E54099">
      <w:pPr>
        <w:pStyle w:val="Zkladntext3"/>
        <w:numPr>
          <w:ilvl w:val="0"/>
          <w:numId w:val="9"/>
        </w:numPr>
        <w:spacing w:beforeLines="20"/>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E54099">
      <w:pPr>
        <w:numPr>
          <w:ilvl w:val="0"/>
          <w:numId w:val="9"/>
        </w:numPr>
        <w:spacing w:beforeLines="20"/>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66DAD" w:rsidRDefault="00766DAD" w:rsidP="00E54099">
      <w:pPr>
        <w:spacing w:beforeLines="20"/>
        <w:jc w:val="both"/>
        <w:rPr>
          <w:sz w:val="24"/>
        </w:rPr>
      </w:pPr>
    </w:p>
    <w:p w:rsidR="00AE2642" w:rsidRDefault="00F866AD" w:rsidP="00E54099">
      <w:pPr>
        <w:pStyle w:val="Nadpis6"/>
        <w:keepNext w:val="0"/>
        <w:spacing w:beforeLines="20" w:after="120"/>
        <w:rPr>
          <w:rFonts w:ascii="Times New Roman" w:hAnsi="Times New Roman"/>
        </w:rPr>
      </w:pPr>
      <w:r>
        <w:rPr>
          <w:rFonts w:ascii="Times New Roman" w:hAnsi="Times New Roman"/>
        </w:rPr>
        <w:t>X</w:t>
      </w:r>
      <w:r w:rsidR="00313A53">
        <w:rPr>
          <w:rFonts w:ascii="Times New Roman" w:hAnsi="Times New Roman"/>
        </w:rPr>
        <w:t>I</w:t>
      </w:r>
      <w:r>
        <w:rPr>
          <w:rFonts w:ascii="Times New Roman" w:hAnsi="Times New Roman"/>
        </w:rPr>
        <w:t xml:space="preserve">. </w:t>
      </w:r>
      <w:r w:rsidR="00AE2642">
        <w:rPr>
          <w:rFonts w:ascii="Times New Roman" w:hAnsi="Times New Roman"/>
        </w:rPr>
        <w:t>ZÁVĚREČNÁ USTANOVENÍ</w:t>
      </w:r>
    </w:p>
    <w:p w:rsidR="00AE2642" w:rsidRDefault="00AE2642" w:rsidP="007D4A64">
      <w:pPr>
        <w:pStyle w:val="Zkladntext3"/>
        <w:numPr>
          <w:ilvl w:val="0"/>
          <w:numId w:val="10"/>
        </w:numPr>
        <w:spacing w:before="0" w:after="120"/>
        <w:jc w:val="both"/>
      </w:pPr>
      <w:r>
        <w:t>Pokud není ve smlouvě dohodnuto jinak, řídí se vzájemné vztahy smluvních stran příslušnými ustanoveními obchodního zákoníku a platným právním řádem.</w:t>
      </w:r>
    </w:p>
    <w:p w:rsidR="00AE2642" w:rsidRDefault="00AE2642" w:rsidP="007D4A64">
      <w:pPr>
        <w:pStyle w:val="Zkladntext3"/>
        <w:numPr>
          <w:ilvl w:val="0"/>
          <w:numId w:val="10"/>
        </w:numPr>
        <w:spacing w:before="0" w:after="120"/>
        <w:jc w:val="both"/>
        <w:rPr>
          <w:b/>
          <w:bCs/>
        </w:rPr>
      </w:pPr>
      <w:r>
        <w:t>Smlouva je platná a účinná dnem podpisu smluvních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AE2642" w:rsidRDefault="00AE2642" w:rsidP="007D4A64">
      <w:pPr>
        <w:pStyle w:val="Zkladntext3"/>
        <w:numPr>
          <w:ilvl w:val="0"/>
          <w:numId w:val="10"/>
        </w:numPr>
        <w:spacing w:before="0" w:after="120"/>
        <w:jc w:val="both"/>
      </w:pPr>
      <w:r>
        <w:t>Účastníci smlouvu přečetli, s jejím obsahem souhlasí, což stvrzují svými podpisy.</w:t>
      </w:r>
    </w:p>
    <w:p w:rsidR="00C73640" w:rsidRDefault="00C73640" w:rsidP="00E54099">
      <w:pPr>
        <w:tabs>
          <w:tab w:val="left" w:pos="5250"/>
        </w:tabs>
        <w:spacing w:beforeLines="20"/>
        <w:rPr>
          <w:sz w:val="24"/>
        </w:rPr>
      </w:pPr>
    </w:p>
    <w:p w:rsidR="00766DAD" w:rsidRDefault="00766DAD" w:rsidP="00E54099">
      <w:pPr>
        <w:tabs>
          <w:tab w:val="left" w:pos="5250"/>
        </w:tabs>
        <w:spacing w:beforeLines="20"/>
        <w:rPr>
          <w:sz w:val="24"/>
        </w:rPr>
      </w:pPr>
    </w:p>
    <w:p w:rsidR="00313A53" w:rsidRDefault="00313A53" w:rsidP="00E54099">
      <w:pPr>
        <w:tabs>
          <w:tab w:val="left" w:pos="5250"/>
        </w:tabs>
        <w:spacing w:beforeLines="20"/>
        <w:rPr>
          <w:sz w:val="24"/>
        </w:rPr>
      </w:pPr>
    </w:p>
    <w:p w:rsidR="00AE2642" w:rsidRDefault="00AE2642" w:rsidP="00E54099">
      <w:pPr>
        <w:tabs>
          <w:tab w:val="left" w:pos="5250"/>
        </w:tabs>
        <w:spacing w:beforeLines="20"/>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w:t>
      </w:r>
      <w:proofErr w:type="gramStart"/>
      <w:r w:rsidR="00B9303C">
        <w:rPr>
          <w:sz w:val="24"/>
        </w:rPr>
        <w:t>V</w:t>
      </w:r>
      <w:r w:rsidR="0012112F">
        <w:rPr>
          <w:sz w:val="24"/>
        </w:rPr>
        <w:t xml:space="preserve"> </w:t>
      </w:r>
      <w:r w:rsidR="002B65DD">
        <w:rPr>
          <w:sz w:val="24"/>
        </w:rPr>
        <w:t xml:space="preserve">             </w:t>
      </w:r>
      <w:r w:rsidR="00B9303C">
        <w:rPr>
          <w:sz w:val="24"/>
        </w:rPr>
        <w:t xml:space="preserve"> </w:t>
      </w:r>
      <w:r>
        <w:rPr>
          <w:sz w:val="24"/>
        </w:rPr>
        <w:t>dne:</w:t>
      </w:r>
      <w:proofErr w:type="gramEnd"/>
      <w:r w:rsidR="009A71AC">
        <w:rPr>
          <w:sz w:val="24"/>
        </w:rPr>
        <w:t xml:space="preserve">       </w:t>
      </w:r>
      <w:r w:rsidR="00C067BB">
        <w:rPr>
          <w:sz w:val="24"/>
        </w:rPr>
        <w:tab/>
      </w:r>
      <w:r w:rsidR="0012112F">
        <w:rPr>
          <w:sz w:val="24"/>
        </w:rPr>
        <w:t xml:space="preserve">    </w:t>
      </w:r>
      <w:r w:rsidR="00636C4C">
        <w:rPr>
          <w:sz w:val="24"/>
        </w:rPr>
        <w:t xml:space="preserve"> </w:t>
      </w:r>
    </w:p>
    <w:p w:rsidR="00AE2642" w:rsidRDefault="00AE2642" w:rsidP="00E54099">
      <w:pPr>
        <w:spacing w:beforeLines="20"/>
        <w:rPr>
          <w:sz w:val="24"/>
        </w:rPr>
      </w:pPr>
    </w:p>
    <w:p w:rsidR="00C73640" w:rsidRDefault="00C73640" w:rsidP="00E54099">
      <w:pPr>
        <w:spacing w:beforeLines="20"/>
        <w:rPr>
          <w:sz w:val="24"/>
        </w:rPr>
      </w:pPr>
    </w:p>
    <w:p w:rsidR="00766DAD" w:rsidRDefault="00766DAD" w:rsidP="00E54099">
      <w:pPr>
        <w:spacing w:beforeLines="20"/>
        <w:rPr>
          <w:sz w:val="24"/>
        </w:rPr>
      </w:pPr>
    </w:p>
    <w:p w:rsidR="00AE2642" w:rsidRDefault="00AE2642" w:rsidP="00E54099">
      <w:pPr>
        <w:spacing w:beforeLines="20"/>
        <w:rPr>
          <w:sz w:val="24"/>
        </w:rPr>
      </w:pPr>
      <w:r>
        <w:rPr>
          <w:sz w:val="24"/>
        </w:rPr>
        <w:t>......................................................                                     ............................................................</w:t>
      </w:r>
    </w:p>
    <w:p w:rsidR="00AE2642" w:rsidRDefault="00AE2642" w:rsidP="00E54099">
      <w:pPr>
        <w:pStyle w:val="Nadpis3"/>
        <w:spacing w:beforeLines="20"/>
        <w:rPr>
          <w:rFonts w:ascii="Times New Roman" w:hAnsi="Times New Roman"/>
        </w:rPr>
      </w:pPr>
      <w:r>
        <w:rPr>
          <w:rFonts w:ascii="Times New Roman" w:hAnsi="Times New Roman"/>
        </w:rPr>
        <w:t xml:space="preserve">                za objednatele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za zhotovitele</w:t>
      </w:r>
    </w:p>
    <w:p w:rsidR="00BB2180" w:rsidRDefault="00BB2180" w:rsidP="00BB2180"/>
    <w:p w:rsidR="00766DAD" w:rsidRDefault="00766DAD" w:rsidP="00BB2180">
      <w:pPr>
        <w:rPr>
          <w:sz w:val="24"/>
          <w:szCs w:val="24"/>
        </w:rPr>
      </w:pPr>
    </w:p>
    <w:p w:rsidR="00766DAD" w:rsidRDefault="00766DAD" w:rsidP="00BB2180">
      <w:pPr>
        <w:rPr>
          <w:sz w:val="24"/>
          <w:szCs w:val="24"/>
        </w:rPr>
      </w:pPr>
    </w:p>
    <w:p w:rsidR="00C73640" w:rsidRPr="00C73640" w:rsidRDefault="00BB2180" w:rsidP="00BB2180">
      <w:pPr>
        <w:rPr>
          <w:sz w:val="24"/>
          <w:szCs w:val="24"/>
        </w:rPr>
      </w:pPr>
      <w:r w:rsidRPr="00C73640">
        <w:rPr>
          <w:sz w:val="24"/>
          <w:szCs w:val="24"/>
        </w:rPr>
        <w:t>Příloha</w:t>
      </w:r>
      <w:r w:rsidR="00C73640" w:rsidRPr="00C73640">
        <w:rPr>
          <w:sz w:val="24"/>
          <w:szCs w:val="24"/>
        </w:rPr>
        <w:t xml:space="preserve"> č. 1</w:t>
      </w:r>
      <w:r w:rsidRPr="00C73640">
        <w:rPr>
          <w:sz w:val="24"/>
          <w:szCs w:val="24"/>
        </w:rPr>
        <w:t>:</w:t>
      </w:r>
      <w:r w:rsidR="00C73640" w:rsidRPr="00C73640">
        <w:rPr>
          <w:sz w:val="24"/>
          <w:szCs w:val="24"/>
        </w:rPr>
        <w:tab/>
      </w:r>
      <w:r w:rsidRPr="00C73640">
        <w:rPr>
          <w:sz w:val="24"/>
          <w:szCs w:val="24"/>
        </w:rPr>
        <w:t xml:space="preserve"> </w:t>
      </w:r>
      <w:r w:rsidR="00766DAD">
        <w:rPr>
          <w:sz w:val="24"/>
          <w:szCs w:val="24"/>
        </w:rPr>
        <w:t>Specifikace kotlů</w:t>
      </w:r>
    </w:p>
    <w:sectPr w:rsidR="00C73640" w:rsidRPr="00C73640" w:rsidSect="00FB1FB9">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93" w:rsidRDefault="00FE4D93">
      <w:r>
        <w:separator/>
      </w:r>
    </w:p>
  </w:endnote>
  <w:endnote w:type="continuationSeparator" w:id="0">
    <w:p w:rsidR="00FE4D93" w:rsidRDefault="00FE4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D15A53">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D15A53">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E54099">
      <w:rPr>
        <w:rStyle w:val="slostrnky"/>
        <w:noProof/>
      </w:rPr>
      <w:t>1</w:t>
    </w:r>
    <w:r>
      <w:rPr>
        <w:rStyle w:val="slostrnky"/>
      </w:rPr>
      <w:fldChar w:fldCharType="end"/>
    </w:r>
  </w:p>
  <w:p w:rsidR="00126A9A" w:rsidRDefault="00126A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93" w:rsidRDefault="00FE4D93">
      <w:r>
        <w:separator/>
      </w:r>
    </w:p>
  </w:footnote>
  <w:footnote w:type="continuationSeparator" w:id="0">
    <w:p w:rsidR="00FE4D93" w:rsidRDefault="00FE4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D15A53">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5" w:rsidRPr="00731325" w:rsidRDefault="00FA5036" w:rsidP="00731325">
    <w:pPr>
      <w:pStyle w:val="Zhlav"/>
      <w:jc w:val="right"/>
      <w:rPr>
        <w:sz w:val="24"/>
        <w:szCs w:val="24"/>
      </w:rPr>
    </w:pPr>
    <w:r>
      <w:rPr>
        <w:sz w:val="24"/>
        <w:szCs w:val="24"/>
      </w:rPr>
      <w:t xml:space="preserve">Příloha č. </w:t>
    </w:r>
    <w:r w:rsidR="00DB4D6F">
      <w:rPr>
        <w:sz w:val="24"/>
        <w:szCs w:val="24"/>
      </w:rPr>
      <w:t>5</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E598822C"/>
    <w:lvl w:ilvl="0" w:tplc="F2BEEF2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461CEB"/>
    <w:multiLevelType w:val="hybridMultilevel"/>
    <w:tmpl w:val="71343796"/>
    <w:lvl w:ilvl="0" w:tplc="EA10F6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69B7867"/>
    <w:multiLevelType w:val="hybridMultilevel"/>
    <w:tmpl w:val="1A3E416A"/>
    <w:lvl w:ilvl="0" w:tplc="CD085DC0">
      <w:start w:val="1"/>
      <w:numFmt w:val="decimal"/>
      <w:lvlText w:val="8.%1"/>
      <w:lvlJc w:val="left"/>
      <w:pPr>
        <w:ind w:left="720" w:hanging="360"/>
      </w:pPr>
      <w:rPr>
        <w:rFonts w:ascii="Book Antiqua" w:hAnsi="Book Antiqua"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2">
    <w:nsid w:val="5B5E5DF8"/>
    <w:multiLevelType w:val="hybridMultilevel"/>
    <w:tmpl w:val="8200AABE"/>
    <w:lvl w:ilvl="0" w:tplc="D2F6BAA0">
      <w:start w:val="1"/>
      <w:numFmt w:val="decimal"/>
      <w:lvlText w:val="6.%1"/>
      <w:lvlJc w:val="left"/>
      <w:pPr>
        <w:ind w:left="765" w:hanging="360"/>
      </w:pPr>
      <w:rPr>
        <w:rFonts w:ascii="Book Antiqua" w:hAnsi="Book Antiqua" w:hint="default"/>
        <w:b/>
        <w:i w:val="0"/>
        <w:sz w:val="22"/>
        <w:u w:val="none"/>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B65EEE"/>
    <w:multiLevelType w:val="singleLevel"/>
    <w:tmpl w:val="A2B46F98"/>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5">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7">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FA4842"/>
    <w:multiLevelType w:val="hybridMultilevel"/>
    <w:tmpl w:val="E1BA467E"/>
    <w:lvl w:ilvl="0" w:tplc="DB1A308C">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7751211"/>
    <w:multiLevelType w:val="hybridMultilevel"/>
    <w:tmpl w:val="9CD0652C"/>
    <w:lvl w:ilvl="0" w:tplc="34144202">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88673A7"/>
    <w:multiLevelType w:val="singleLevel"/>
    <w:tmpl w:val="FDF2B216"/>
    <w:lvl w:ilvl="0">
      <w:start w:val="1"/>
      <w:numFmt w:val="decimal"/>
      <w:lvlText w:val="7.%1"/>
      <w:lvlJc w:val="left"/>
      <w:pPr>
        <w:tabs>
          <w:tab w:val="num" w:pos="1256"/>
        </w:tabs>
        <w:ind w:left="1256" w:hanging="851"/>
      </w:pPr>
      <w:rPr>
        <w:rFonts w:ascii="Book Antiqua" w:hAnsi="Book Antiqua" w:hint="default"/>
        <w:b/>
        <w:i w:val="0"/>
        <w:sz w:val="22"/>
        <w:u w:val="none"/>
      </w:rPr>
    </w:lvl>
  </w:abstractNum>
  <w:abstractNum w:abstractNumId="22">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9"/>
  </w:num>
  <w:num w:numId="4">
    <w:abstractNumId w:val="22"/>
  </w:num>
  <w:num w:numId="5">
    <w:abstractNumId w:val="24"/>
  </w:num>
  <w:num w:numId="6">
    <w:abstractNumId w:val="6"/>
  </w:num>
  <w:num w:numId="7">
    <w:abstractNumId w:val="4"/>
  </w:num>
  <w:num w:numId="8">
    <w:abstractNumId w:val="19"/>
  </w:num>
  <w:num w:numId="9">
    <w:abstractNumId w:val="2"/>
  </w:num>
  <w:num w:numId="10">
    <w:abstractNumId w:val="20"/>
  </w:num>
  <w:num w:numId="11">
    <w:abstractNumId w:val="18"/>
  </w:num>
  <w:num w:numId="12">
    <w:abstractNumId w:val="7"/>
  </w:num>
  <w:num w:numId="13">
    <w:abstractNumId w:val="0"/>
  </w:num>
  <w:num w:numId="14">
    <w:abstractNumId w:val="17"/>
  </w:num>
  <w:num w:numId="15">
    <w:abstractNumId w:val="8"/>
  </w:num>
  <w:num w:numId="16">
    <w:abstractNumId w:val="16"/>
  </w:num>
  <w:num w:numId="17">
    <w:abstractNumId w:val="21"/>
  </w:num>
  <w:num w:numId="18">
    <w:abstractNumId w:val="15"/>
  </w:num>
  <w:num w:numId="19">
    <w:abstractNumId w:val="23"/>
  </w:num>
  <w:num w:numId="20">
    <w:abstractNumId w:val="1"/>
  </w:num>
  <w:num w:numId="21">
    <w:abstractNumId w:val="13"/>
  </w:num>
  <w:num w:numId="22">
    <w:abstractNumId w:val="5"/>
  </w:num>
  <w:num w:numId="23">
    <w:abstractNumId w:val="3"/>
  </w:num>
  <w:num w:numId="24">
    <w:abstractNumId w:val="1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63BCA"/>
    <w:rsid w:val="00013221"/>
    <w:rsid w:val="000132A7"/>
    <w:rsid w:val="00020971"/>
    <w:rsid w:val="00036744"/>
    <w:rsid w:val="0004438B"/>
    <w:rsid w:val="00053D8D"/>
    <w:rsid w:val="00064B1D"/>
    <w:rsid w:val="0006644B"/>
    <w:rsid w:val="0007119C"/>
    <w:rsid w:val="00082EE7"/>
    <w:rsid w:val="00085ACD"/>
    <w:rsid w:val="000A3F7C"/>
    <w:rsid w:val="000B4217"/>
    <w:rsid w:val="000C4430"/>
    <w:rsid w:val="000D63FC"/>
    <w:rsid w:val="00102CFB"/>
    <w:rsid w:val="0012112F"/>
    <w:rsid w:val="00124E54"/>
    <w:rsid w:val="00126A9A"/>
    <w:rsid w:val="00134292"/>
    <w:rsid w:val="00143F3E"/>
    <w:rsid w:val="00167E17"/>
    <w:rsid w:val="00172B03"/>
    <w:rsid w:val="00197CB7"/>
    <w:rsid w:val="001B51E2"/>
    <w:rsid w:val="00203EBD"/>
    <w:rsid w:val="00251A87"/>
    <w:rsid w:val="002658A9"/>
    <w:rsid w:val="002821D9"/>
    <w:rsid w:val="002B65DD"/>
    <w:rsid w:val="002C458F"/>
    <w:rsid w:val="002D2786"/>
    <w:rsid w:val="002D52B0"/>
    <w:rsid w:val="00302F96"/>
    <w:rsid w:val="00313A53"/>
    <w:rsid w:val="0032040C"/>
    <w:rsid w:val="00346428"/>
    <w:rsid w:val="00353802"/>
    <w:rsid w:val="00363B73"/>
    <w:rsid w:val="0036638E"/>
    <w:rsid w:val="0039725D"/>
    <w:rsid w:val="003972B8"/>
    <w:rsid w:val="003B0799"/>
    <w:rsid w:val="003B70C8"/>
    <w:rsid w:val="003C35A8"/>
    <w:rsid w:val="003D0288"/>
    <w:rsid w:val="003D29D6"/>
    <w:rsid w:val="003D5A9B"/>
    <w:rsid w:val="003E28CB"/>
    <w:rsid w:val="003F4000"/>
    <w:rsid w:val="004331C0"/>
    <w:rsid w:val="004357B7"/>
    <w:rsid w:val="0044446E"/>
    <w:rsid w:val="004540F1"/>
    <w:rsid w:val="00455900"/>
    <w:rsid w:val="0046156D"/>
    <w:rsid w:val="00465C84"/>
    <w:rsid w:val="00473AE3"/>
    <w:rsid w:val="00481EBB"/>
    <w:rsid w:val="0048318A"/>
    <w:rsid w:val="004934DE"/>
    <w:rsid w:val="00495DE3"/>
    <w:rsid w:val="004B3E4F"/>
    <w:rsid w:val="004F49F6"/>
    <w:rsid w:val="004F699B"/>
    <w:rsid w:val="00502E1D"/>
    <w:rsid w:val="005138E7"/>
    <w:rsid w:val="00557C70"/>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BCB"/>
    <w:rsid w:val="006A1AA4"/>
    <w:rsid w:val="006A5382"/>
    <w:rsid w:val="006B45DB"/>
    <w:rsid w:val="006C1668"/>
    <w:rsid w:val="006D2154"/>
    <w:rsid w:val="006E3756"/>
    <w:rsid w:val="006E4FC5"/>
    <w:rsid w:val="006F3DE9"/>
    <w:rsid w:val="00703DB1"/>
    <w:rsid w:val="007047B6"/>
    <w:rsid w:val="00705208"/>
    <w:rsid w:val="00731325"/>
    <w:rsid w:val="00732F72"/>
    <w:rsid w:val="007416C3"/>
    <w:rsid w:val="0074567D"/>
    <w:rsid w:val="00746F82"/>
    <w:rsid w:val="0075034C"/>
    <w:rsid w:val="00753CAB"/>
    <w:rsid w:val="00766DAD"/>
    <w:rsid w:val="00767CA6"/>
    <w:rsid w:val="00773F23"/>
    <w:rsid w:val="007853A6"/>
    <w:rsid w:val="00791998"/>
    <w:rsid w:val="00793B5A"/>
    <w:rsid w:val="007947EA"/>
    <w:rsid w:val="007B6975"/>
    <w:rsid w:val="007C4B3B"/>
    <w:rsid w:val="007C4DEA"/>
    <w:rsid w:val="007D4A64"/>
    <w:rsid w:val="007E7EE1"/>
    <w:rsid w:val="007F2AA2"/>
    <w:rsid w:val="00803355"/>
    <w:rsid w:val="008249D7"/>
    <w:rsid w:val="00842029"/>
    <w:rsid w:val="0084231E"/>
    <w:rsid w:val="00847843"/>
    <w:rsid w:val="00874BE4"/>
    <w:rsid w:val="008A1017"/>
    <w:rsid w:val="008A3DED"/>
    <w:rsid w:val="008A7577"/>
    <w:rsid w:val="008C12D8"/>
    <w:rsid w:val="008C5622"/>
    <w:rsid w:val="008E02C8"/>
    <w:rsid w:val="008F59AC"/>
    <w:rsid w:val="008F6F60"/>
    <w:rsid w:val="00914F75"/>
    <w:rsid w:val="00941F5F"/>
    <w:rsid w:val="009460F6"/>
    <w:rsid w:val="00946C23"/>
    <w:rsid w:val="00957072"/>
    <w:rsid w:val="00963BCA"/>
    <w:rsid w:val="00985BA2"/>
    <w:rsid w:val="0099006C"/>
    <w:rsid w:val="00995FEB"/>
    <w:rsid w:val="009A71AC"/>
    <w:rsid w:val="00A12DBD"/>
    <w:rsid w:val="00A256C9"/>
    <w:rsid w:val="00A3017A"/>
    <w:rsid w:val="00A333A0"/>
    <w:rsid w:val="00A54045"/>
    <w:rsid w:val="00A57703"/>
    <w:rsid w:val="00A77B67"/>
    <w:rsid w:val="00A82DEA"/>
    <w:rsid w:val="00A8687A"/>
    <w:rsid w:val="00A87620"/>
    <w:rsid w:val="00AB10C1"/>
    <w:rsid w:val="00AB695B"/>
    <w:rsid w:val="00AC384A"/>
    <w:rsid w:val="00AD1330"/>
    <w:rsid w:val="00AD3584"/>
    <w:rsid w:val="00AE2642"/>
    <w:rsid w:val="00AE3EFB"/>
    <w:rsid w:val="00B753A2"/>
    <w:rsid w:val="00B90640"/>
    <w:rsid w:val="00B90B47"/>
    <w:rsid w:val="00B9303C"/>
    <w:rsid w:val="00BB2180"/>
    <w:rsid w:val="00BD463F"/>
    <w:rsid w:val="00C067BB"/>
    <w:rsid w:val="00C12C0B"/>
    <w:rsid w:val="00C13571"/>
    <w:rsid w:val="00C21BF4"/>
    <w:rsid w:val="00C51BA5"/>
    <w:rsid w:val="00C56DD3"/>
    <w:rsid w:val="00C73640"/>
    <w:rsid w:val="00C77854"/>
    <w:rsid w:val="00C9449D"/>
    <w:rsid w:val="00CA6AD5"/>
    <w:rsid w:val="00CE1C55"/>
    <w:rsid w:val="00CE5FEE"/>
    <w:rsid w:val="00D15A53"/>
    <w:rsid w:val="00D1698C"/>
    <w:rsid w:val="00D16F68"/>
    <w:rsid w:val="00D277D4"/>
    <w:rsid w:val="00D5235C"/>
    <w:rsid w:val="00D548C3"/>
    <w:rsid w:val="00D6364B"/>
    <w:rsid w:val="00D77061"/>
    <w:rsid w:val="00D864CA"/>
    <w:rsid w:val="00DA05F4"/>
    <w:rsid w:val="00DA3C03"/>
    <w:rsid w:val="00DB0147"/>
    <w:rsid w:val="00DB4D6F"/>
    <w:rsid w:val="00DC26F4"/>
    <w:rsid w:val="00DD1FCA"/>
    <w:rsid w:val="00DE5981"/>
    <w:rsid w:val="00DF1831"/>
    <w:rsid w:val="00E152A7"/>
    <w:rsid w:val="00E43D89"/>
    <w:rsid w:val="00E51409"/>
    <w:rsid w:val="00E54099"/>
    <w:rsid w:val="00E5417F"/>
    <w:rsid w:val="00E561ED"/>
    <w:rsid w:val="00E75237"/>
    <w:rsid w:val="00E85099"/>
    <w:rsid w:val="00E873B3"/>
    <w:rsid w:val="00EB2847"/>
    <w:rsid w:val="00EB7238"/>
    <w:rsid w:val="00EF3C51"/>
    <w:rsid w:val="00EF5E3C"/>
    <w:rsid w:val="00F001D3"/>
    <w:rsid w:val="00F150A3"/>
    <w:rsid w:val="00F36D29"/>
    <w:rsid w:val="00F371C8"/>
    <w:rsid w:val="00F50AAE"/>
    <w:rsid w:val="00F866AD"/>
    <w:rsid w:val="00F87849"/>
    <w:rsid w:val="00FA5036"/>
    <w:rsid w:val="00FB1FB9"/>
    <w:rsid w:val="00FC0202"/>
    <w:rsid w:val="00FC4BE0"/>
    <w:rsid w:val="00FD4896"/>
    <w:rsid w:val="00FE4D93"/>
    <w:rsid w:val="00FF15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7D4"/>
  </w:style>
  <w:style w:type="paragraph" w:styleId="Nadpis1">
    <w:name w:val="heading 1"/>
    <w:basedOn w:val="Normln"/>
    <w:next w:val="Normln"/>
    <w:qFormat/>
    <w:rsid w:val="00D277D4"/>
    <w:pPr>
      <w:keepNext/>
      <w:spacing w:before="120"/>
      <w:outlineLvl w:val="0"/>
    </w:pPr>
    <w:rPr>
      <w:rFonts w:ascii="Albertus Medium" w:hAnsi="Albertus Medium"/>
      <w:b/>
      <w:color w:val="0000FF"/>
      <w:sz w:val="28"/>
    </w:rPr>
  </w:style>
  <w:style w:type="paragraph" w:styleId="Nadpis2">
    <w:name w:val="heading 2"/>
    <w:basedOn w:val="Normln"/>
    <w:next w:val="Normln"/>
    <w:qFormat/>
    <w:rsid w:val="00D277D4"/>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D277D4"/>
    <w:pPr>
      <w:keepNext/>
      <w:spacing w:before="120"/>
      <w:outlineLvl w:val="2"/>
    </w:pPr>
    <w:rPr>
      <w:rFonts w:ascii="Book Antiqua" w:hAnsi="Book Antiqua"/>
      <w:sz w:val="24"/>
    </w:rPr>
  </w:style>
  <w:style w:type="paragraph" w:styleId="Nadpis4">
    <w:name w:val="heading 4"/>
    <w:basedOn w:val="Normln"/>
    <w:next w:val="Normln"/>
    <w:qFormat/>
    <w:rsid w:val="00D277D4"/>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D277D4"/>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D277D4"/>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D277D4"/>
    <w:pPr>
      <w:numPr>
        <w:ilvl w:val="6"/>
        <w:numId w:val="1"/>
      </w:numPr>
      <w:spacing w:before="240" w:after="60"/>
      <w:outlineLvl w:val="6"/>
    </w:pPr>
    <w:rPr>
      <w:rFonts w:ascii="Arial" w:hAnsi="Arial"/>
    </w:rPr>
  </w:style>
  <w:style w:type="paragraph" w:styleId="Nadpis8">
    <w:name w:val="heading 8"/>
    <w:basedOn w:val="Normln"/>
    <w:next w:val="Normln"/>
    <w:qFormat/>
    <w:rsid w:val="00D277D4"/>
    <w:pPr>
      <w:numPr>
        <w:ilvl w:val="7"/>
        <w:numId w:val="1"/>
      </w:numPr>
      <w:spacing w:before="240" w:after="60"/>
      <w:outlineLvl w:val="7"/>
    </w:pPr>
    <w:rPr>
      <w:rFonts w:ascii="Arial" w:hAnsi="Arial"/>
      <w:i/>
    </w:rPr>
  </w:style>
  <w:style w:type="paragraph" w:styleId="Nadpis9">
    <w:name w:val="heading 9"/>
    <w:basedOn w:val="Normln"/>
    <w:next w:val="Normln"/>
    <w:qFormat/>
    <w:rsid w:val="00D277D4"/>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277D4"/>
    <w:pPr>
      <w:tabs>
        <w:tab w:val="center" w:pos="4536"/>
        <w:tab w:val="right" w:pos="9072"/>
      </w:tabs>
    </w:pPr>
  </w:style>
  <w:style w:type="character" w:styleId="slostrnky">
    <w:name w:val="page number"/>
    <w:basedOn w:val="Standardnpsmoodstavce"/>
    <w:rsid w:val="00D277D4"/>
  </w:style>
  <w:style w:type="paragraph" w:styleId="Zpat">
    <w:name w:val="footer"/>
    <w:basedOn w:val="Normln"/>
    <w:rsid w:val="00D277D4"/>
    <w:pPr>
      <w:tabs>
        <w:tab w:val="center" w:pos="4536"/>
        <w:tab w:val="right" w:pos="9072"/>
      </w:tabs>
    </w:pPr>
  </w:style>
  <w:style w:type="paragraph" w:styleId="Nzev">
    <w:name w:val="Title"/>
    <w:basedOn w:val="Normln"/>
    <w:qFormat/>
    <w:rsid w:val="00D277D4"/>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D277D4"/>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D277D4"/>
    <w:pPr>
      <w:spacing w:before="120"/>
      <w:ind w:left="851"/>
      <w:jc w:val="both"/>
    </w:pPr>
    <w:rPr>
      <w:sz w:val="24"/>
    </w:rPr>
  </w:style>
  <w:style w:type="paragraph" w:styleId="Zkladntext">
    <w:name w:val="Body Text"/>
    <w:basedOn w:val="Normln"/>
    <w:rsid w:val="00D277D4"/>
    <w:pPr>
      <w:spacing w:before="120"/>
    </w:pPr>
    <w:rPr>
      <w:rFonts w:ascii="Arial Narrow" w:hAnsi="Arial Narrow"/>
      <w:b/>
      <w:i/>
      <w:sz w:val="24"/>
    </w:rPr>
  </w:style>
  <w:style w:type="paragraph" w:styleId="Zkladntext2">
    <w:name w:val="Body Text 2"/>
    <w:basedOn w:val="Normln"/>
    <w:rsid w:val="00D277D4"/>
    <w:pPr>
      <w:spacing w:before="120"/>
      <w:jc w:val="both"/>
    </w:pPr>
    <w:rPr>
      <w:rFonts w:ascii="Arial Narrow" w:hAnsi="Arial Narrow"/>
      <w:b/>
      <w:sz w:val="24"/>
    </w:rPr>
  </w:style>
  <w:style w:type="paragraph" w:styleId="Titulek">
    <w:name w:val="caption"/>
    <w:basedOn w:val="Normln"/>
    <w:next w:val="Normln"/>
    <w:qFormat/>
    <w:rsid w:val="00D277D4"/>
    <w:pPr>
      <w:spacing w:before="120"/>
      <w:jc w:val="both"/>
    </w:pPr>
    <w:rPr>
      <w:rFonts w:ascii="Arial Narrow" w:hAnsi="Arial Narrow"/>
      <w:sz w:val="24"/>
    </w:rPr>
  </w:style>
  <w:style w:type="paragraph" w:styleId="Rozvrendokumentu">
    <w:name w:val="Document Map"/>
    <w:basedOn w:val="Normln"/>
    <w:semiHidden/>
    <w:rsid w:val="00D277D4"/>
    <w:pPr>
      <w:shd w:val="clear" w:color="auto" w:fill="000080"/>
    </w:pPr>
    <w:rPr>
      <w:rFonts w:ascii="Tahoma" w:hAnsi="Tahoma"/>
    </w:rPr>
  </w:style>
  <w:style w:type="paragraph" w:styleId="Zkladntextodsazen2">
    <w:name w:val="Body Text Indent 2"/>
    <w:basedOn w:val="Normln"/>
    <w:rsid w:val="00D277D4"/>
    <w:pPr>
      <w:spacing w:before="120"/>
      <w:ind w:left="851" w:hanging="851"/>
      <w:jc w:val="both"/>
    </w:pPr>
    <w:rPr>
      <w:rFonts w:ascii="Arial Narrow" w:hAnsi="Arial Narrow"/>
      <w:sz w:val="24"/>
    </w:rPr>
  </w:style>
  <w:style w:type="paragraph" w:styleId="Zkladntext3">
    <w:name w:val="Body Text 3"/>
    <w:basedOn w:val="Normln"/>
    <w:rsid w:val="00D277D4"/>
    <w:pPr>
      <w:shd w:val="clear" w:color="00FFFF" w:fill="auto"/>
      <w:spacing w:before="120"/>
      <w:jc w:val="center"/>
    </w:pPr>
    <w:rPr>
      <w:sz w:val="24"/>
    </w:rPr>
  </w:style>
  <w:style w:type="paragraph" w:customStyle="1" w:styleId="Normln1">
    <w:name w:val="Normální1"/>
    <w:rsid w:val="00D277D4"/>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paragraph" w:customStyle="1" w:styleId="Default">
    <w:name w:val="Default"/>
    <w:rsid w:val="00363B7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VIsliClrg9QOP5gNrHiQTv9N+gA=</ds:DigestValue>
    </ds:Reference>
  </ds:SignedInfo>
  <ds:SignatureValue>QWIEeTSEt1+MnOJ+nkPaSYeBMVtcw/PQFvbJS/MNDz4U6cQqGiYadLxBqoioEJ6dDaITn7j5zHZd84mrRFQaLNK4DpPYaQf/1AUxPvNjN+r5K54REqsaRLBfQg3HtvfO8EncY17mmKg3b3cEMrMSIqtX0ZtecDXBp7fUdGhjDI/zi42cJGBBbDtH29ZO0CJPkUWsHDjGTLJYVKIFjkTUwmz0XZIS4/RbzVbqWeMcgkFKVPUfDzWlE/f+E5ENEvf9IvYE5Ht9BEuvsXdks016xwpc5muAMFH+XvkjC4b2MtVXOdf+XEiwZ2A78YFwaiWC1DYWhvasvMmPPt21fCMtaw==</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gU4I2CNiJ5rN1EVARDjD0Oml8rI=</ds:DigestValue>
      </ds:Reference>
      <ds:Reference URI="/word/fontTable.xml?ContentType=application/vnd.openxmlformats-officedocument.wordprocessingml.fontTable+xml">
        <ds:DigestMethod Algorithm="http://www.w3.org/2000/09/xmldsig#sha1"/>
        <ds:DigestValue>2/Sa8vzr1E8RzLAFaXxZbJiCx1g=</ds:DigestValue>
      </ds:Reference>
      <ds:Reference URI="/word/styles.xml?ContentType=application/vnd.openxmlformats-officedocument.wordprocessingml.styles+xml">
        <ds:DigestMethod Algorithm="http://www.w3.org/2000/09/xmldsig#sha1"/>
        <ds:DigestValue>Du40688Tnp6qZf3N9rhKZ4j3inU=</ds:DigestValue>
      </ds:Reference>
      <ds:Reference URI="/word/endnotes.xml?ContentType=application/vnd.openxmlformats-officedocument.wordprocessingml.endnotes+xml">
        <ds:DigestMethod Algorithm="http://www.w3.org/2000/09/xmldsig#sha1"/>
        <ds:DigestValue>/ymaRV5t/v6Yvbt5mZUkcL14F0o=</ds:DigestValue>
      </ds:Reference>
      <ds:Reference URI="/word/footer2.xml?ContentType=application/vnd.openxmlformats-officedocument.wordprocessingml.footer+xml">
        <ds:DigestMethod Algorithm="http://www.w3.org/2000/09/xmldsig#sha1"/>
        <ds:DigestValue>3obUxEbvqWK4F6qfxq+fxyjF89E=</ds:DigestValue>
      </ds:Reference>
      <ds:Reference URI="/word/numbering.xml?ContentType=application/vnd.openxmlformats-officedocument.wordprocessingml.numbering+xml">
        <ds:DigestMethod Algorithm="http://www.w3.org/2000/09/xmldsig#sha1"/>
        <ds:DigestValue>XSE/FWsI/t3dUf8lUCgFP2fJpNw=</ds:DigestValue>
      </ds:Reference>
      <ds:Reference URI="/word/footnotes.xml?ContentType=application/vnd.openxmlformats-officedocument.wordprocessingml.footnotes+xml">
        <ds:DigestMethod Algorithm="http://www.w3.org/2000/09/xmldsig#sha1"/>
        <ds:DigestValue>lCTVG+/kbL87TDXnHo9mIEC4+C0=</ds:DigestValue>
      </ds:Reference>
      <ds:Reference URI="/word/footer1.xml?ContentType=application/vnd.openxmlformats-officedocument.wordprocessingml.footer+xml">
        <ds:DigestMethod Algorithm="http://www.w3.org/2000/09/xmldsig#sha1"/>
        <ds:DigestValue>6ADXhuVncbFX2zxIvzbC1Rh4t5k=</ds:DigestValue>
      </ds:Reference>
      <ds:Reference URI="/word/webSettings.xml?ContentType=application/vnd.openxmlformats-officedocument.wordprocessingml.webSettings+xml">
        <ds:DigestMethod Algorithm="http://www.w3.org/2000/09/xmldsig#sha1"/>
        <ds:DigestValue>83tl5Y6hv2zekAjQh89h984i1kE=</ds:DigestValue>
      </ds:Reference>
      <ds:Reference URI="/word/header2.xml?ContentType=application/vnd.openxmlformats-officedocument.wordprocessingml.header+xml">
        <ds:DigestMethod Algorithm="http://www.w3.org/2000/09/xmldsig#sha1"/>
        <ds:DigestValue>wuFhnlEsr5F2GI+LEnjCuybnahI=</ds:DigestValue>
      </ds:Reference>
      <ds:Reference URI="/word/settings.xml?ContentType=application/vnd.openxmlformats-officedocument.wordprocessingml.settings+xml">
        <ds:DigestMethod Algorithm="http://www.w3.org/2000/09/xmldsig#sha1"/>
        <ds:DigestValue>9d690ecabFs1E4X28wFL+eMijAA=</ds:DigestValue>
      </ds:Reference>
      <ds:Reference URI="/word/header1.xml?ContentType=application/vnd.openxmlformats-officedocument.wordprocessingml.header+xml">
        <ds:DigestMethod Algorithm="http://www.w3.org/2000/09/xmldsig#sha1"/>
        <ds:DigestValue>BAY5qbOq07ap9zYBSAvuNEbSicg=</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EgkTBP0iPbHb7DrihYp+P80HMdI=</ds:DigestValue>
      </ds:Reference>
    </ds:Manifest>
    <ds:SignatureProperties>
      <ds:SignatureProperty Id="idSignatureTime" Target="#idSignature1">
        <SignatureTime xmlns="http://schemas.openxmlformats.org/package/2006/digital-signature">
          <Format>YYYY-MM-DDThh:mm:ss.sTZD</Format>
          <Value>2013-08-06T12:59:45.5Z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A7B81-8B94-4680-BCE8-380D0824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1531</Words>
  <Characters>9037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10547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3</cp:revision>
  <cp:lastPrinted>2013-08-05T08:33:00Z</cp:lastPrinted>
  <dcterms:created xsi:type="dcterms:W3CDTF">2013-08-05T09:13:00Z</dcterms:created>
  <dcterms:modified xsi:type="dcterms:W3CDTF">2013-08-06T12:50:00Z</dcterms:modified>
</cp:coreProperties>
</file>