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2E7917">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2E7917">
      <w:pPr>
        <w:pStyle w:val="Zkladntext"/>
        <w:spacing w:beforeLines="20" w:before="48"/>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731325">
        <w:rPr>
          <w:rFonts w:ascii="Times New Roman" w:hAnsi="Times New Roman"/>
          <w:i w:val="0"/>
          <w:sz w:val="28"/>
          <w:szCs w:val="28"/>
        </w:rPr>
        <w:t>3</w:t>
      </w:r>
    </w:p>
    <w:p w:rsidR="002E7917" w:rsidRPr="00B92ADD" w:rsidRDefault="002E7917" w:rsidP="002E7917">
      <w:pPr>
        <w:pStyle w:val="Zkladntext"/>
        <w:spacing w:beforeLines="20" w:before="48"/>
        <w:jc w:val="center"/>
        <w:rPr>
          <w:rFonts w:ascii="Times New Roman" w:hAnsi="Times New Roman"/>
        </w:rPr>
      </w:pPr>
      <w:r w:rsidRPr="00B92ADD">
        <w:rPr>
          <w:rFonts w:ascii="Times New Roman" w:hAnsi="Times New Roman"/>
        </w:rPr>
        <w:t xml:space="preserve">uzavřená podle § 2586 a násl. zák.č.89/2012 Sb., občanský zákoník </w:t>
      </w:r>
    </w:p>
    <w:p w:rsidR="00DC26F4" w:rsidRDefault="00DC26F4" w:rsidP="002E7917">
      <w:pPr>
        <w:pStyle w:val="Zkladntext"/>
        <w:spacing w:beforeLines="20" w:before="48"/>
        <w:jc w:val="center"/>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3614"/>
        <w:gridCol w:w="6164"/>
      </w:tblGrid>
      <w:tr w:rsidR="00AE2642" w:rsidTr="005963A8">
        <w:trPr>
          <w:trHeight w:val="317"/>
          <w:jc w:val="center"/>
        </w:trPr>
        <w:tc>
          <w:tcPr>
            <w:tcW w:w="3614" w:type="dxa"/>
            <w:shd w:val="clear" w:color="00FFFF" w:fill="auto"/>
          </w:tcPr>
          <w:p w:rsidR="006D6F14" w:rsidRDefault="00AE2642" w:rsidP="002E7917">
            <w:pPr>
              <w:spacing w:beforeLines="20" w:before="48"/>
              <w:rPr>
                <w:b/>
                <w:sz w:val="24"/>
              </w:rPr>
            </w:pPr>
            <w:r>
              <w:rPr>
                <w:b/>
                <w:sz w:val="24"/>
              </w:rPr>
              <w:t xml:space="preserve">OBJEDNATEL:    </w:t>
            </w:r>
          </w:p>
          <w:p w:rsidR="00AE2642" w:rsidRDefault="006D6F14" w:rsidP="006D6F14">
            <w:pPr>
              <w:spacing w:beforeLines="20" w:before="48"/>
              <w:rPr>
                <w:b/>
                <w:sz w:val="24"/>
              </w:rPr>
            </w:pPr>
            <w:r>
              <w:rPr>
                <w:i/>
                <w:sz w:val="24"/>
              </w:rPr>
              <w:t>Zapsaný v obchodním rejstříku u:</w:t>
            </w:r>
            <w:r w:rsidR="00AE2642">
              <w:rPr>
                <w:b/>
                <w:sz w:val="24"/>
              </w:rPr>
              <w:t xml:space="preserve">         </w:t>
            </w:r>
          </w:p>
        </w:tc>
        <w:tc>
          <w:tcPr>
            <w:tcW w:w="6164" w:type="dxa"/>
            <w:shd w:val="clear" w:color="00FFFF" w:fill="auto"/>
          </w:tcPr>
          <w:p w:rsidR="00AE2642" w:rsidRDefault="005963A8" w:rsidP="006D6F14">
            <w:pPr>
              <w:pStyle w:val="Nadpis3"/>
              <w:spacing w:beforeLines="20" w:before="48" w:after="120"/>
              <w:rPr>
                <w:rFonts w:ascii="Times New Roman" w:hAnsi="Times New Roman"/>
              </w:rPr>
            </w:pPr>
            <w:r>
              <w:rPr>
                <w:rFonts w:ascii="Times New Roman" w:hAnsi="Times New Roman"/>
              </w:rPr>
              <w:t>Armádní Servisní, příspěvková organizace</w:t>
            </w:r>
          </w:p>
          <w:p w:rsidR="006D6F14" w:rsidRPr="006D6F14" w:rsidRDefault="006D6F14" w:rsidP="006D6F14">
            <w:r>
              <w:rPr>
                <w:sz w:val="24"/>
              </w:rPr>
              <w:t>Městského soudu v Praze, oddíl Pr., vložka č. 1342</w:t>
            </w:r>
          </w:p>
        </w:tc>
      </w:tr>
      <w:tr w:rsidR="00AE2642" w:rsidTr="005963A8">
        <w:trPr>
          <w:trHeight w:val="280"/>
          <w:jc w:val="center"/>
        </w:trPr>
        <w:tc>
          <w:tcPr>
            <w:tcW w:w="3614" w:type="dxa"/>
          </w:tcPr>
          <w:p w:rsidR="00AE2642" w:rsidRDefault="00731325" w:rsidP="002E7917">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2E7917">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Default="005963A8" w:rsidP="002E7917">
            <w:pPr>
              <w:spacing w:beforeLines="20" w:before="48"/>
              <w:rPr>
                <w:sz w:val="24"/>
              </w:rPr>
            </w:pPr>
            <w:r>
              <w:rPr>
                <w:sz w:val="24"/>
              </w:rPr>
              <w:t xml:space="preserve">Podbabská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2E7917">
            <w:pPr>
              <w:spacing w:beforeLines="20" w:before="48"/>
              <w:rPr>
                <w:i/>
                <w:sz w:val="24"/>
              </w:rPr>
            </w:pPr>
            <w:r>
              <w:rPr>
                <w:i/>
                <w:sz w:val="24"/>
              </w:rPr>
              <w:t>IČ:</w:t>
            </w:r>
          </w:p>
          <w:p w:rsidR="00AE2642" w:rsidRDefault="00AE2642" w:rsidP="002E7917">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rsidP="002E7917">
            <w:pPr>
              <w:spacing w:beforeLines="20" w:before="48"/>
              <w:rPr>
                <w:sz w:val="24"/>
              </w:rPr>
            </w:pPr>
            <w:r>
              <w:rPr>
                <w:sz w:val="24"/>
              </w:rPr>
              <w:t>60460580</w:t>
            </w:r>
          </w:p>
          <w:p w:rsidR="00AE2642" w:rsidRDefault="00AE2642" w:rsidP="002E7917">
            <w:pPr>
              <w:spacing w:beforeLines="20" w:before="48"/>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2E7917">
            <w:pPr>
              <w:spacing w:beforeLines="20" w:before="48"/>
              <w:rPr>
                <w:i/>
                <w:sz w:val="24"/>
              </w:rPr>
            </w:pPr>
            <w:r>
              <w:rPr>
                <w:i/>
                <w:sz w:val="24"/>
              </w:rPr>
              <w:t>Tel</w:t>
            </w:r>
            <w:r w:rsidR="007D4A64">
              <w:rPr>
                <w:i/>
                <w:sz w:val="24"/>
              </w:rPr>
              <w:t>.</w:t>
            </w:r>
            <w:r>
              <w:rPr>
                <w:i/>
                <w:sz w:val="24"/>
              </w:rPr>
              <w:t xml:space="preserve">: </w:t>
            </w:r>
          </w:p>
          <w:p w:rsidR="00AE2642" w:rsidRDefault="00AE2642" w:rsidP="002E7917">
            <w:pPr>
              <w:spacing w:beforeLines="20" w:before="48"/>
              <w:rPr>
                <w:i/>
                <w:sz w:val="24"/>
              </w:rPr>
            </w:pPr>
            <w:r>
              <w:rPr>
                <w:i/>
                <w:sz w:val="24"/>
              </w:rPr>
              <w:t>Fax:</w:t>
            </w:r>
          </w:p>
        </w:tc>
        <w:tc>
          <w:tcPr>
            <w:tcW w:w="6164" w:type="dxa"/>
            <w:tcBorders>
              <w:bottom w:val="nil"/>
            </w:tcBorders>
          </w:tcPr>
          <w:p w:rsidR="00AE2642" w:rsidRDefault="00AE2642" w:rsidP="002E7917">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rsidP="002E7917">
            <w:pPr>
              <w:spacing w:beforeLines="20" w:before="48"/>
              <w:rPr>
                <w:sz w:val="24"/>
              </w:rPr>
            </w:pPr>
            <w:r>
              <w:rPr>
                <w:sz w:val="24"/>
              </w:rPr>
              <w:t>973 204 092</w:t>
            </w:r>
          </w:p>
        </w:tc>
      </w:tr>
      <w:tr w:rsidR="00AE2642">
        <w:trPr>
          <w:trHeight w:val="357"/>
          <w:jc w:val="center"/>
        </w:trPr>
        <w:tc>
          <w:tcPr>
            <w:tcW w:w="3614" w:type="dxa"/>
          </w:tcPr>
          <w:p w:rsidR="00753CAB" w:rsidRDefault="00753CAB" w:rsidP="002E7917">
            <w:pPr>
              <w:spacing w:beforeLines="20" w:before="48"/>
              <w:rPr>
                <w:i/>
                <w:sz w:val="24"/>
              </w:rPr>
            </w:pPr>
            <w:r>
              <w:rPr>
                <w:i/>
                <w:sz w:val="24"/>
              </w:rPr>
              <w:t>ID datové schránky:</w:t>
            </w:r>
          </w:p>
          <w:p w:rsidR="00AE2642" w:rsidRDefault="00AE2642" w:rsidP="002E7917">
            <w:pPr>
              <w:spacing w:beforeLines="20" w:before="48"/>
              <w:rPr>
                <w:i/>
                <w:sz w:val="24"/>
              </w:rPr>
            </w:pPr>
            <w:r>
              <w:rPr>
                <w:i/>
                <w:sz w:val="24"/>
              </w:rPr>
              <w:t>Odpovědní zástupci pro jednání:</w:t>
            </w:r>
          </w:p>
        </w:tc>
        <w:tc>
          <w:tcPr>
            <w:tcW w:w="6164" w:type="dxa"/>
          </w:tcPr>
          <w:p w:rsidR="00AE2642" w:rsidRPr="00753CAB" w:rsidRDefault="00753CAB" w:rsidP="002E7917">
            <w:pPr>
              <w:spacing w:beforeLines="20" w:before="48"/>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731325" w:rsidP="006D6F14">
            <w:pPr>
              <w:rPr>
                <w:sz w:val="24"/>
              </w:rPr>
            </w:pPr>
            <w:r>
              <w:rPr>
                <w:sz w:val="24"/>
              </w:rPr>
              <w:t xml:space="preserve">Ing. </w:t>
            </w:r>
            <w:r w:rsidR="006D6F14">
              <w:rPr>
                <w:sz w:val="24"/>
              </w:rPr>
              <w:t>Monika Rešl Kletečková</w:t>
            </w:r>
            <w:r>
              <w:rPr>
                <w:sz w:val="24"/>
              </w:rPr>
              <w:t>: 973</w:t>
            </w:r>
            <w:r w:rsidR="006D6F14">
              <w:rPr>
                <w:sz w:val="24"/>
              </w:rPr>
              <w:t> </w:t>
            </w:r>
            <w:r>
              <w:rPr>
                <w:sz w:val="24"/>
              </w:rPr>
              <w:t>20</w:t>
            </w:r>
            <w:r w:rsidR="006D6F14">
              <w:rPr>
                <w:sz w:val="24"/>
              </w:rPr>
              <w:t>3 992</w:t>
            </w:r>
            <w:r>
              <w:rPr>
                <w:sz w:val="24"/>
              </w:rPr>
              <w:t xml:space="preserve">, </w:t>
            </w:r>
            <w:r w:rsidR="006D6F14">
              <w:rPr>
                <w:sz w:val="24"/>
              </w:rPr>
              <w:t>702 209 151</w:t>
            </w:r>
          </w:p>
        </w:tc>
      </w:tr>
      <w:tr w:rsidR="00AE2642" w:rsidTr="005963A8">
        <w:trPr>
          <w:trHeight w:val="284"/>
          <w:jc w:val="center"/>
        </w:trPr>
        <w:tc>
          <w:tcPr>
            <w:tcW w:w="3614" w:type="dxa"/>
            <w:shd w:val="clear" w:color="00FFFF" w:fill="auto"/>
          </w:tcPr>
          <w:p w:rsidR="00AE2642" w:rsidRDefault="00AE2642" w:rsidP="002E7917">
            <w:pPr>
              <w:spacing w:beforeLines="20" w:before="48"/>
              <w:rPr>
                <w:b/>
                <w:sz w:val="24"/>
              </w:rPr>
            </w:pPr>
            <w:r>
              <w:rPr>
                <w:b/>
                <w:sz w:val="24"/>
              </w:rPr>
              <w:t>ZHOTOVITEL:</w:t>
            </w:r>
          </w:p>
          <w:p w:rsidR="006D6F14" w:rsidRDefault="006D6F14" w:rsidP="002E7917">
            <w:pPr>
              <w:spacing w:beforeLines="20" w:before="48"/>
              <w:rPr>
                <w:b/>
                <w:sz w:val="24"/>
              </w:rPr>
            </w:pPr>
            <w:r>
              <w:rPr>
                <w:i/>
                <w:sz w:val="24"/>
              </w:rPr>
              <w:t>Zapsaný v obchodním rejstříku u:</w:t>
            </w:r>
          </w:p>
        </w:tc>
        <w:tc>
          <w:tcPr>
            <w:tcW w:w="6164" w:type="dxa"/>
            <w:shd w:val="clear" w:color="00FFFF" w:fill="auto"/>
          </w:tcPr>
          <w:p w:rsidR="00AE2642" w:rsidRDefault="00731325" w:rsidP="00731325">
            <w:pPr>
              <w:spacing w:after="120"/>
              <w:rPr>
                <w:bCs/>
                <w:sz w:val="24"/>
                <w:highlight w:val="yellow"/>
              </w:rPr>
            </w:pPr>
            <w:r w:rsidRPr="00C56DD3">
              <w:rPr>
                <w:bCs/>
                <w:sz w:val="24"/>
                <w:highlight w:val="yellow"/>
              </w:rPr>
              <w:t>………………………………………………….</w:t>
            </w:r>
          </w:p>
          <w:p w:rsidR="006D6F14" w:rsidRPr="00C56DD3" w:rsidRDefault="006D6F14" w:rsidP="00731325">
            <w:pPr>
              <w:spacing w:after="120"/>
              <w:rPr>
                <w:bCs/>
                <w:sz w:val="24"/>
                <w:highlight w:val="yellow"/>
              </w:rPr>
            </w:pPr>
            <w:r>
              <w:rPr>
                <w:bCs/>
                <w:sz w:val="24"/>
                <w:highlight w:val="yellow"/>
              </w:rPr>
              <w:t>………………………………………………….</w:t>
            </w:r>
          </w:p>
        </w:tc>
      </w:tr>
      <w:tr w:rsidR="00AE2642" w:rsidTr="005963A8">
        <w:trPr>
          <w:trHeight w:val="275"/>
          <w:jc w:val="center"/>
        </w:trPr>
        <w:tc>
          <w:tcPr>
            <w:tcW w:w="3614" w:type="dxa"/>
          </w:tcPr>
          <w:p w:rsidR="00AE2642" w:rsidRDefault="00AE2642" w:rsidP="002E7917">
            <w:pPr>
              <w:spacing w:beforeLines="20" w:before="48"/>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2E7917">
            <w:pPr>
              <w:spacing w:beforeLines="20" w:before="48"/>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2E7917">
            <w:pPr>
              <w:spacing w:beforeLines="20" w:before="48"/>
              <w:rPr>
                <w:i/>
                <w:sz w:val="24"/>
              </w:rPr>
            </w:pPr>
            <w:r>
              <w:rPr>
                <w:i/>
                <w:sz w:val="24"/>
              </w:rPr>
              <w:t>Odpovědní zástupci pro jednání:</w:t>
            </w:r>
          </w:p>
        </w:tc>
        <w:tc>
          <w:tcPr>
            <w:tcW w:w="6164" w:type="dxa"/>
            <w:tcBorders>
              <w:bottom w:val="nil"/>
            </w:tcBorders>
          </w:tcPr>
          <w:p w:rsidR="00AE2642" w:rsidRDefault="00AE2642" w:rsidP="002E7917">
            <w:pPr>
              <w:spacing w:beforeLines="20" w:before="48"/>
              <w:rPr>
                <w:sz w:val="24"/>
              </w:rPr>
            </w:pP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…………………………tel.:..………………….</w:t>
            </w: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…………………………tel.:..………………….</w:t>
            </w:r>
          </w:p>
        </w:tc>
      </w:tr>
    </w:tbl>
    <w:p w:rsidR="00AE2642" w:rsidRDefault="00AE2642" w:rsidP="002E7917">
      <w:pPr>
        <w:spacing w:beforeLines="20" w:before="48"/>
        <w:ind w:left="-284"/>
        <w:jc w:val="both"/>
        <w:rPr>
          <w:b/>
          <w:sz w:val="24"/>
        </w:rPr>
      </w:pPr>
    </w:p>
    <w:p w:rsidR="0006644B" w:rsidRDefault="0006644B" w:rsidP="002E7917">
      <w:pPr>
        <w:spacing w:beforeLines="20" w:before="48"/>
        <w:ind w:left="-284"/>
        <w:jc w:val="both"/>
        <w:rPr>
          <w:b/>
          <w:sz w:val="24"/>
        </w:rPr>
      </w:pPr>
    </w:p>
    <w:p w:rsidR="00AE2642" w:rsidRDefault="00AE2642" w:rsidP="002E7917">
      <w:pPr>
        <w:spacing w:beforeLines="20" w:before="48"/>
        <w:ind w:left="-284"/>
        <w:jc w:val="both"/>
        <w:rPr>
          <w:b/>
          <w:sz w:val="24"/>
        </w:rPr>
      </w:pPr>
      <w:r>
        <w:rPr>
          <w:b/>
          <w:sz w:val="24"/>
        </w:rPr>
        <w:t>za takto dohodnutých podmínek:</w:t>
      </w:r>
    </w:p>
    <w:p w:rsidR="0006644B" w:rsidRDefault="0006644B" w:rsidP="002E7917">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E72798" w:rsidRPr="00E72798" w:rsidRDefault="00AE2642" w:rsidP="00E72798">
      <w:pPr>
        <w:pStyle w:val="Odstavecseseznamem"/>
        <w:ind w:left="0"/>
        <w:jc w:val="both"/>
        <w:rPr>
          <w:rFonts w:ascii="Times New Roman" w:hAnsi="Times New Roman"/>
          <w:sz w:val="24"/>
          <w:szCs w:val="24"/>
        </w:rPr>
      </w:pPr>
      <w:r w:rsidRPr="00E72798">
        <w:rPr>
          <w:rFonts w:ascii="Times New Roman" w:hAnsi="Times New Roman"/>
          <w:sz w:val="24"/>
          <w:szCs w:val="24"/>
        </w:rPr>
        <w:t xml:space="preserve">Předmětem </w:t>
      </w:r>
      <w:r w:rsidR="005A6283" w:rsidRPr="00E72798">
        <w:rPr>
          <w:rFonts w:ascii="Times New Roman" w:hAnsi="Times New Roman"/>
          <w:sz w:val="24"/>
          <w:szCs w:val="24"/>
        </w:rPr>
        <w:t xml:space="preserve">díla </w:t>
      </w:r>
      <w:r w:rsidR="00495DE3" w:rsidRPr="00E72798">
        <w:rPr>
          <w:rFonts w:ascii="Times New Roman" w:hAnsi="Times New Roman"/>
          <w:sz w:val="24"/>
          <w:szCs w:val="24"/>
        </w:rPr>
        <w:t xml:space="preserve">je </w:t>
      </w:r>
      <w:r w:rsidR="00457DD3" w:rsidRPr="001520DD">
        <w:rPr>
          <w:rFonts w:ascii="Times New Roman" w:hAnsi="Times New Roman"/>
          <w:sz w:val="24"/>
          <w:szCs w:val="24"/>
        </w:rPr>
        <w:t xml:space="preserve">vybudování plynovodního rozvodu a nových kotelen na zemní plyn v hlavních budovách areálu kasáren Jiřího z Poděbrad VÚ Bučovice na základě zpracované projektové dokumentace včetně všech technických zpráv pod názvem „Plynofikace kasáren Jiřího z Poděbrad VÚ Bučovice“ (zpracovatel VPÚ Plzeň </w:t>
      </w:r>
      <w:r w:rsidR="00457DD3">
        <w:rPr>
          <w:rFonts w:ascii="Times New Roman" w:hAnsi="Times New Roman"/>
          <w:sz w:val="24"/>
          <w:szCs w:val="24"/>
        </w:rPr>
        <w:t>s. r. o., 04/2013)</w:t>
      </w:r>
      <w:r w:rsidR="00E72798" w:rsidRPr="00E72798">
        <w:rPr>
          <w:rFonts w:ascii="Times New Roman" w:hAnsi="Times New Roman"/>
          <w:sz w:val="24"/>
          <w:szCs w:val="24"/>
        </w:rPr>
        <w:t>.</w:t>
      </w:r>
    </w:p>
    <w:p w:rsidR="00AE2642" w:rsidRDefault="00AE2642" w:rsidP="002E7917">
      <w:pPr>
        <w:spacing w:beforeLines="70" w:before="168" w:after="120"/>
        <w:jc w:val="both"/>
        <w:rPr>
          <w:b/>
          <w:bCs/>
          <w:u w:val="single"/>
        </w:rPr>
      </w:pPr>
      <w:r>
        <w:rPr>
          <w:b/>
          <w:bCs/>
          <w:sz w:val="24"/>
          <w:u w:val="single"/>
        </w:rPr>
        <w:t>Rozsah požadovaných prací:</w:t>
      </w:r>
      <w:r>
        <w:rPr>
          <w:b/>
          <w:bCs/>
          <w:u w:val="single"/>
        </w:rPr>
        <w:t xml:space="preserve"> </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V rámci zakázky si zhotovitel zajistí povolení ke vstupu a přístup do objektů a místností.</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lastRenderedPageBreak/>
        <w:t>Provést vlastní realizaci díla podle zpracované projektové dokumentace „Plynofikace kasáren Jiřího z Poděbrad VÚ Bučovice“, zpracovatel VPÚ Plzeň s. r. o., 04/2013, vydaného Stavebního povolení, za dodržení podmínek stanovisek vydaných v rámci stavebního řízení a dle naceněného slepého soupisu prací a dodávek.</w:t>
      </w:r>
    </w:p>
    <w:p w:rsidR="002E7917" w:rsidRPr="002E7917" w:rsidRDefault="002E7917" w:rsidP="002E7917">
      <w:pPr>
        <w:pStyle w:val="Odstavecseseznamem"/>
        <w:numPr>
          <w:ilvl w:val="0"/>
          <w:numId w:val="22"/>
        </w:numPr>
        <w:spacing w:after="0" w:line="288" w:lineRule="auto"/>
        <w:contextualSpacing/>
        <w:jc w:val="both"/>
        <w:rPr>
          <w:rFonts w:ascii="Times New Roman" w:hAnsi="Times New Roman"/>
          <w:sz w:val="24"/>
          <w:szCs w:val="24"/>
        </w:rPr>
      </w:pPr>
      <w:r w:rsidRPr="002E7917">
        <w:rPr>
          <w:rFonts w:ascii="Times New Roman" w:hAnsi="Times New Roman"/>
          <w:sz w:val="24"/>
          <w:szCs w:val="24"/>
        </w:rPr>
        <w:t>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V průběhu realizace vést stavební deník – podle platné legislativy.</w:t>
      </w:r>
    </w:p>
    <w:p w:rsidR="002E7917" w:rsidRPr="002E7917" w:rsidRDefault="002E7917" w:rsidP="002E7917">
      <w:pPr>
        <w:pStyle w:val="Zkladntext3"/>
        <w:numPr>
          <w:ilvl w:val="0"/>
          <w:numId w:val="22"/>
        </w:numPr>
        <w:shd w:val="clear" w:color="auto" w:fill="auto"/>
        <w:spacing w:before="0" w:line="276" w:lineRule="auto"/>
        <w:ind w:left="714" w:hanging="357"/>
        <w:jc w:val="both"/>
        <w:rPr>
          <w:bCs/>
          <w:i/>
          <w:iCs/>
          <w:szCs w:val="24"/>
        </w:rPr>
      </w:pPr>
      <w:r w:rsidRPr="002E7917">
        <w:rPr>
          <w:rFonts w:eastAsia="Calibri"/>
          <w:bCs/>
          <w:szCs w:val="24"/>
        </w:rPr>
        <w:t>Průběžně provádět (minimálně 2) kontrolní dny měsíčně za společné účasti projektanta, zástupce investora a zástupce zhotovitele.</w:t>
      </w:r>
    </w:p>
    <w:p w:rsidR="002E7917" w:rsidRPr="002E7917" w:rsidRDefault="002E7917" w:rsidP="002E7917">
      <w:pPr>
        <w:pStyle w:val="Zkladntext3"/>
        <w:numPr>
          <w:ilvl w:val="0"/>
          <w:numId w:val="22"/>
        </w:numPr>
        <w:shd w:val="clear" w:color="auto" w:fill="auto"/>
        <w:spacing w:before="0" w:line="276" w:lineRule="auto"/>
        <w:ind w:left="714" w:hanging="357"/>
        <w:jc w:val="both"/>
        <w:rPr>
          <w:bCs/>
          <w:i/>
          <w:iCs/>
          <w:szCs w:val="24"/>
        </w:rPr>
      </w:pPr>
      <w:r w:rsidRPr="002E7917">
        <w:rPr>
          <w:rFonts w:eastAsia="Calibri"/>
          <w:bCs/>
          <w:szCs w:val="24"/>
        </w:rPr>
        <w:t>Provedení zkoušek dle ČSN 060310.</w:t>
      </w:r>
    </w:p>
    <w:p w:rsidR="002E7917" w:rsidRPr="002E7917" w:rsidRDefault="002E7917" w:rsidP="002E7917">
      <w:pPr>
        <w:numPr>
          <w:ilvl w:val="0"/>
          <w:numId w:val="22"/>
        </w:numPr>
        <w:spacing w:line="276" w:lineRule="auto"/>
        <w:ind w:left="714" w:hanging="357"/>
        <w:jc w:val="both"/>
        <w:rPr>
          <w:sz w:val="24"/>
          <w:szCs w:val="24"/>
        </w:rPr>
      </w:pPr>
      <w:r w:rsidRPr="002E7917">
        <w:rPr>
          <w:bCs/>
          <w:sz w:val="24"/>
          <w:szCs w:val="24"/>
        </w:rPr>
        <w:t xml:space="preserve">Doložit veškeré </w:t>
      </w:r>
      <w:r w:rsidRPr="002E7917">
        <w:rPr>
          <w:sz w:val="24"/>
          <w:szCs w:val="24"/>
        </w:rPr>
        <w:t>výchozí revize,</w:t>
      </w:r>
      <w:r w:rsidRPr="002E7917">
        <w:rPr>
          <w:bCs/>
          <w:sz w:val="24"/>
          <w:szCs w:val="24"/>
        </w:rPr>
        <w:t xml:space="preserve"> </w:t>
      </w:r>
      <w:r w:rsidRPr="002E7917">
        <w:rPr>
          <w:sz w:val="24"/>
          <w:szCs w:val="24"/>
        </w:rPr>
        <w:t>protokoly o příslušných zkouškách,</w:t>
      </w:r>
      <w:r w:rsidRPr="002E7917">
        <w:rPr>
          <w:bCs/>
          <w:sz w:val="24"/>
          <w:szCs w:val="24"/>
        </w:rPr>
        <w:t xml:space="preserve"> atesty výrobků a materiálu</w:t>
      </w:r>
      <w:r w:rsidRPr="002E7917">
        <w:rPr>
          <w:sz w:val="24"/>
          <w:szCs w:val="24"/>
        </w:rPr>
        <w:t>, doložení prohlášení o shodě na dodané výrobky a ostatní doklady pro vydání kolaudačního souhlasu.</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Zajistit vydání kolaudačního souhlasu.</w:t>
      </w:r>
    </w:p>
    <w:p w:rsidR="002E7917" w:rsidRPr="002E7917" w:rsidRDefault="002E7917" w:rsidP="002E7917">
      <w:pPr>
        <w:pStyle w:val="Zkladntext3"/>
        <w:numPr>
          <w:ilvl w:val="0"/>
          <w:numId w:val="22"/>
        </w:numPr>
        <w:shd w:val="clear" w:color="auto" w:fill="auto"/>
        <w:spacing w:before="0" w:line="276" w:lineRule="auto"/>
        <w:ind w:left="714" w:hanging="357"/>
        <w:jc w:val="both"/>
        <w:rPr>
          <w:rFonts w:eastAsia="Calibri"/>
          <w:bCs/>
          <w:szCs w:val="24"/>
        </w:rPr>
      </w:pPr>
      <w:r w:rsidRPr="002E7917">
        <w:rPr>
          <w:rFonts w:eastAsia="Calibri"/>
          <w:bCs/>
          <w:szCs w:val="24"/>
        </w:rPr>
        <w:t>Kotelny vybavit lékárničkou, přenosnou svítilnou a hasicími přístroji.</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Předat veškeré návody na obsluhu jednotlivých zařízení, záruční listy, provést zaškolení obsluhy.</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Předat pasporty tlakových nádob.</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Zpracování návrhu provozních a požárních řádů v písemné i elektronické podobě na CD.</w:t>
      </w:r>
    </w:p>
    <w:p w:rsidR="002E7917" w:rsidRPr="002E7917" w:rsidRDefault="002E7917" w:rsidP="002E7917">
      <w:pPr>
        <w:numPr>
          <w:ilvl w:val="0"/>
          <w:numId w:val="22"/>
        </w:numPr>
        <w:spacing w:line="288" w:lineRule="auto"/>
        <w:jc w:val="both"/>
        <w:rPr>
          <w:sz w:val="24"/>
          <w:szCs w:val="24"/>
        </w:rPr>
      </w:pPr>
      <w:r w:rsidRPr="002E7917">
        <w:rPr>
          <w:sz w:val="24"/>
          <w:szCs w:val="24"/>
        </w:rPr>
        <w:t>Zpracovat projektovou dokumentaci skutečného provedení stavby 3x v listinné podobě a 1x v elektronické podobě ve formátu *.pdf a *.dwg na nosiči CD – dle Vyhlášky č. 499/2006 Sb., příloha č. 7.</w:t>
      </w:r>
    </w:p>
    <w:p w:rsidR="002E7917" w:rsidRPr="002E7917" w:rsidRDefault="002E7917" w:rsidP="002E7917">
      <w:pPr>
        <w:numPr>
          <w:ilvl w:val="0"/>
          <w:numId w:val="22"/>
        </w:numPr>
        <w:spacing w:line="288" w:lineRule="auto"/>
        <w:jc w:val="both"/>
        <w:rPr>
          <w:sz w:val="24"/>
          <w:szCs w:val="24"/>
        </w:rPr>
      </w:pPr>
      <w:r w:rsidRPr="002E7917">
        <w:rPr>
          <w:sz w:val="24"/>
          <w:szCs w:val="24"/>
        </w:rPr>
        <w:t>Po ukončení díla zpracovat geometrické zaměření a geometrický plán skutečného provedení nového plynovodního rozvodu obsahující i čísla a hranice dotčených parcel, vyznačení ochranných pásem.</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Faktury rozdělit na jednotlivé stavební objekty a tyto rozdělit na stavební a strojní část.</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Součástí plnění veřejné zakázky je průběžný a závěrečný úklid, odvoz a ekologická likvidace demontovaného materiálu a veškerého vzniklého odpadu včetně uložení na skládku, doklady o likvidaci odpadu.</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Veškeré finanční prostředky získané za kovový odpad budou převedeny investorovi.</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Veškeré požadované práce realizovat za dodržení platných bezpečnostních a hygienických norem.</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Bezpečnostní značení dle příslušných norem.</w:t>
      </w:r>
    </w:p>
    <w:p w:rsidR="002E7917" w:rsidRPr="002E7917" w:rsidRDefault="002E7917" w:rsidP="002E7917">
      <w:pPr>
        <w:numPr>
          <w:ilvl w:val="0"/>
          <w:numId w:val="22"/>
        </w:numPr>
        <w:spacing w:line="276" w:lineRule="auto"/>
        <w:ind w:left="714" w:hanging="357"/>
        <w:jc w:val="both"/>
        <w:rPr>
          <w:sz w:val="24"/>
          <w:szCs w:val="24"/>
        </w:rPr>
      </w:pPr>
      <w:r w:rsidRPr="002E7917">
        <w:rPr>
          <w:sz w:val="24"/>
          <w:szCs w:val="24"/>
        </w:rPr>
        <w:t>U objektů, které to z provozních důvodů vyžadují, zajistit po dobu rekonstrukce provizorní dodávku TV.</w:t>
      </w:r>
    </w:p>
    <w:p w:rsidR="00457DD3" w:rsidRPr="002E7917" w:rsidRDefault="002E7917" w:rsidP="002E7917">
      <w:pPr>
        <w:numPr>
          <w:ilvl w:val="0"/>
          <w:numId w:val="22"/>
        </w:numPr>
        <w:spacing w:line="276" w:lineRule="auto"/>
        <w:ind w:left="714" w:hanging="357"/>
        <w:jc w:val="both"/>
        <w:rPr>
          <w:sz w:val="24"/>
          <w:szCs w:val="24"/>
        </w:rPr>
      </w:pPr>
      <w:r w:rsidRPr="002E7917">
        <w:rPr>
          <w:sz w:val="24"/>
          <w:szCs w:val="24"/>
        </w:rPr>
        <w:t>U veškerých prací a činností, které budou prováděny za plného provozu v budovách, je nutno dodržovat bezpečnostní předpisy, požární předpisy, požární dozor a dohled, příp. další technický dohled.</w:t>
      </w:r>
    </w:p>
    <w:p w:rsidR="002D2786" w:rsidRPr="00457DD3" w:rsidRDefault="002D2786" w:rsidP="00557C70">
      <w:pPr>
        <w:jc w:val="both"/>
        <w:rPr>
          <w:sz w:val="24"/>
          <w:szCs w:val="24"/>
        </w:rPr>
      </w:pPr>
    </w:p>
    <w:p w:rsidR="0007119C" w:rsidRDefault="001A5AF0" w:rsidP="00557C70">
      <w:pPr>
        <w:pStyle w:val="Zkladntext"/>
        <w:spacing w:before="0"/>
        <w:jc w:val="both"/>
        <w:rPr>
          <w:rFonts w:ascii="Times New Roman" w:hAnsi="Times New Roman"/>
          <w:b w:val="0"/>
          <w:bCs/>
          <w:i w:val="0"/>
          <w:iCs/>
        </w:rPr>
      </w:pPr>
      <w:r>
        <w:rPr>
          <w:rFonts w:ascii="Times New Roman" w:hAnsi="Times New Roman"/>
          <w:b w:val="0"/>
          <w:bCs/>
          <w:i w:val="0"/>
          <w:iCs/>
        </w:rPr>
        <w:lastRenderedPageBreak/>
        <w:t>Naceněný soupis prací a dodávek</w:t>
      </w:r>
      <w:r w:rsidR="00791998">
        <w:rPr>
          <w:rFonts w:ascii="Times New Roman" w:hAnsi="Times New Roman"/>
          <w:b w:val="0"/>
          <w:bCs/>
          <w:i w:val="0"/>
          <w:iCs/>
        </w:rPr>
        <w:t xml:space="preserve"> </w:t>
      </w:r>
      <w:r w:rsidR="0007119C">
        <w:rPr>
          <w:rFonts w:ascii="Times New Roman" w:hAnsi="Times New Roman"/>
          <w:b w:val="0"/>
          <w:bCs/>
          <w:i w:val="0"/>
          <w:iCs/>
        </w:rPr>
        <w:t>je uveden v příloze č. 1, která je nedílnou součástí této smlouvy.</w:t>
      </w:r>
    </w:p>
    <w:p w:rsidR="00FD4896" w:rsidRDefault="00FD4896" w:rsidP="00557C70">
      <w:pPr>
        <w:pStyle w:val="Zkladntext"/>
        <w:spacing w:before="0"/>
        <w:jc w:val="both"/>
        <w:rPr>
          <w:rFonts w:ascii="Times New Roman" w:hAnsi="Times New Roman"/>
          <w:b w:val="0"/>
          <w:bCs/>
          <w:i w:val="0"/>
          <w:iCs/>
        </w:rPr>
      </w:pPr>
    </w:p>
    <w:p w:rsidR="00AE2642" w:rsidRDefault="00F866AD" w:rsidP="002E7917">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2E7917">
      <w:pPr>
        <w:shd w:val="clear" w:color="00FFFF" w:fill="auto"/>
        <w:tabs>
          <w:tab w:val="left" w:pos="4253"/>
          <w:tab w:val="right" w:pos="5670"/>
        </w:tabs>
        <w:spacing w:beforeLines="20" w:before="48" w:after="1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C56DD3">
        <w:rPr>
          <w:sz w:val="24"/>
        </w:rPr>
        <w:t>ihned po podpisu SoD</w:t>
      </w:r>
    </w:p>
    <w:p w:rsidR="002E7917" w:rsidRPr="002E7917" w:rsidRDefault="002E7917" w:rsidP="002E7917">
      <w:pPr>
        <w:spacing w:after="240"/>
        <w:rPr>
          <w:sz w:val="24"/>
          <w:szCs w:val="24"/>
        </w:rPr>
      </w:pPr>
      <w:r w:rsidRPr="002E7917">
        <w:rPr>
          <w:sz w:val="24"/>
          <w:szCs w:val="24"/>
        </w:rPr>
        <w:t xml:space="preserve">Termín ukončení plnění včetně požádání o kolaudační souhlas: </w:t>
      </w:r>
      <w:r w:rsidRPr="002E7917">
        <w:rPr>
          <w:sz w:val="24"/>
          <w:szCs w:val="24"/>
        </w:rPr>
        <w:tab/>
      </w:r>
      <w:r w:rsidRPr="002E7917">
        <w:rPr>
          <w:b/>
          <w:sz w:val="24"/>
          <w:szCs w:val="24"/>
        </w:rPr>
        <w:t>30. 9. 2015</w:t>
      </w:r>
    </w:p>
    <w:p w:rsidR="002E7917" w:rsidRPr="002E7917" w:rsidRDefault="002E7917" w:rsidP="002E7917">
      <w:pPr>
        <w:jc w:val="both"/>
        <w:rPr>
          <w:sz w:val="24"/>
          <w:szCs w:val="24"/>
        </w:rPr>
      </w:pPr>
      <w:r w:rsidRPr="002E7917">
        <w:rPr>
          <w:sz w:val="24"/>
          <w:szCs w:val="24"/>
        </w:rPr>
        <w:t>Předložení kolaudačního souhlasu s nabytím právní moci:</w:t>
      </w:r>
      <w:r w:rsidRPr="002E7917">
        <w:rPr>
          <w:sz w:val="24"/>
          <w:szCs w:val="24"/>
        </w:rPr>
        <w:tab/>
      </w:r>
      <w:r w:rsidRPr="002E7917">
        <w:rPr>
          <w:sz w:val="24"/>
          <w:szCs w:val="24"/>
        </w:rPr>
        <w:tab/>
      </w:r>
      <w:r w:rsidRPr="002E7917">
        <w:rPr>
          <w:b/>
          <w:sz w:val="24"/>
          <w:szCs w:val="24"/>
        </w:rPr>
        <w:t>30. 11. 2015</w:t>
      </w:r>
    </w:p>
    <w:p w:rsidR="00AE2642" w:rsidRPr="00CE5FEE" w:rsidRDefault="008A3DED" w:rsidP="002E7917">
      <w:pPr>
        <w:shd w:val="clear" w:color="00FFFF" w:fill="auto"/>
        <w:tabs>
          <w:tab w:val="left" w:pos="4253"/>
          <w:tab w:val="right" w:pos="5670"/>
        </w:tabs>
        <w:spacing w:beforeLines="20" w:before="48"/>
        <w:jc w:val="both"/>
        <w:rPr>
          <w:sz w:val="24"/>
        </w:rPr>
      </w:pPr>
      <w:r w:rsidRPr="00CE5FEE">
        <w:rPr>
          <w:sz w:val="24"/>
        </w:rPr>
        <w:tab/>
      </w:r>
      <w:r w:rsidR="001A5AF0">
        <w:rPr>
          <w:sz w:val="24"/>
        </w:rPr>
        <w:t xml:space="preserve">   </w:t>
      </w:r>
    </w:p>
    <w:p w:rsidR="00EB1CB6" w:rsidRPr="00EB1CB6" w:rsidRDefault="00AE2642" w:rsidP="00EB1CB6">
      <w:pPr>
        <w:jc w:val="both"/>
        <w:rPr>
          <w:sz w:val="24"/>
          <w:szCs w:val="24"/>
        </w:rPr>
      </w:pPr>
      <w:r w:rsidRPr="00557C70">
        <w:rPr>
          <w:sz w:val="24"/>
          <w:szCs w:val="24"/>
        </w:rPr>
        <w:t>Místem plnění je:</w:t>
      </w:r>
      <w:r w:rsidR="00EB1CB6">
        <w:rPr>
          <w:b/>
          <w:bCs/>
          <w:i/>
          <w:iCs/>
          <w:sz w:val="24"/>
          <w:szCs w:val="24"/>
        </w:rPr>
        <w:t xml:space="preserve"> </w:t>
      </w:r>
      <w:r w:rsidR="00EB1CB6" w:rsidRPr="00EB1CB6">
        <w:t xml:space="preserve"> </w:t>
      </w:r>
      <w:r w:rsidR="00EB1CB6" w:rsidRPr="00EB1CB6">
        <w:rPr>
          <w:sz w:val="24"/>
          <w:szCs w:val="24"/>
        </w:rPr>
        <w:t>areál VÚ 6142 Bučovice (okres Vyškov)</w:t>
      </w:r>
    </w:p>
    <w:p w:rsidR="00AB695B" w:rsidRDefault="00AB695B" w:rsidP="002E7917">
      <w:pPr>
        <w:pStyle w:val="Nadpis4"/>
        <w:keepNext w:val="0"/>
        <w:spacing w:beforeLines="20" w:before="48" w:after="120"/>
        <w:rPr>
          <w:rFonts w:ascii="Times New Roman" w:hAnsi="Times New Roman"/>
          <w:color w:val="auto"/>
          <w:szCs w:val="24"/>
        </w:rPr>
      </w:pPr>
    </w:p>
    <w:p w:rsidR="00AE2642" w:rsidRDefault="00F866AD" w:rsidP="002E7917">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r w:rsidR="00842029" w:rsidRPr="00C56DD3">
        <w:rPr>
          <w:sz w:val="24"/>
          <w:szCs w:val="24"/>
          <w:highlight w:val="yellow"/>
        </w:rPr>
        <w:t>.</w:t>
      </w:r>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2E7917">
      <w:pPr>
        <w:spacing w:beforeLines="20" w:before="48"/>
        <w:jc w:val="both"/>
        <w:rPr>
          <w:sz w:val="24"/>
        </w:rPr>
      </w:pPr>
    </w:p>
    <w:p w:rsidR="00AE2642" w:rsidRDefault="00F866AD" w:rsidP="002E7917">
      <w:pPr>
        <w:spacing w:beforeLines="20" w:before="48"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Default="00AE2642" w:rsidP="002E7917">
      <w:pPr>
        <w:numPr>
          <w:ilvl w:val="0"/>
          <w:numId w:val="2"/>
        </w:numPr>
        <w:tabs>
          <w:tab w:val="left" w:pos="0"/>
        </w:tabs>
        <w:spacing w:beforeLines="20" w:before="48"/>
        <w:jc w:val="both"/>
        <w:rPr>
          <w:sz w:val="24"/>
        </w:rPr>
      </w:pPr>
      <w:r>
        <w:rPr>
          <w:sz w:val="24"/>
        </w:rPr>
        <w:t>Objednatel zálohy neposkytuje.</w:t>
      </w:r>
    </w:p>
    <w:p w:rsidR="00750A54" w:rsidRPr="00750A54" w:rsidRDefault="00750A54" w:rsidP="00750A54">
      <w:pPr>
        <w:numPr>
          <w:ilvl w:val="0"/>
          <w:numId w:val="2"/>
        </w:numPr>
        <w:jc w:val="both"/>
        <w:rPr>
          <w:sz w:val="24"/>
          <w:szCs w:val="24"/>
        </w:rPr>
      </w:pPr>
      <w:r w:rsidRPr="00750A54">
        <w:rPr>
          <w:sz w:val="24"/>
          <w:szCs w:val="24"/>
        </w:rPr>
        <w:t xml:space="preserve">Fakturace bude prováděna do výše 80 % ceny díla vždy na </w:t>
      </w:r>
      <w:r w:rsidR="008374CD">
        <w:rPr>
          <w:sz w:val="24"/>
          <w:szCs w:val="24"/>
        </w:rPr>
        <w:t>jednotlivé stavební objekty</w:t>
      </w:r>
      <w:r w:rsidRPr="00750A54">
        <w:rPr>
          <w:sz w:val="24"/>
          <w:szCs w:val="24"/>
        </w:rPr>
        <w:t xml:space="preserve"> na základě zápisu o předání/převzetí. Poslední faktura ve výši 20 % z ceny díla bude vystavena po odstranění případných vad a nedodělků ze závěrečné prohlídky (kolaudace)</w:t>
      </w:r>
      <w:r w:rsidR="00806F68">
        <w:rPr>
          <w:sz w:val="24"/>
          <w:szCs w:val="24"/>
        </w:rPr>
        <w:t>, předání veškeré dokumentace</w:t>
      </w:r>
      <w:r w:rsidRPr="00750A54">
        <w:rPr>
          <w:sz w:val="24"/>
          <w:szCs w:val="24"/>
        </w:rPr>
        <w:t xml:space="preserve"> a vydání kolaudačního souhlasu</w:t>
      </w:r>
    </w:p>
    <w:p w:rsidR="00C56DD3" w:rsidRPr="007853A6" w:rsidRDefault="00C56DD3" w:rsidP="002E7917">
      <w:pPr>
        <w:numPr>
          <w:ilvl w:val="0"/>
          <w:numId w:val="2"/>
        </w:numPr>
        <w:tabs>
          <w:tab w:val="left" w:pos="0"/>
        </w:tabs>
        <w:spacing w:beforeLines="20" w:before="48"/>
        <w:jc w:val="both"/>
        <w:rPr>
          <w:bCs/>
          <w:color w:val="FF0000"/>
          <w:sz w:val="24"/>
          <w:szCs w:val="24"/>
        </w:rPr>
      </w:pPr>
      <w:r w:rsidRPr="00561A21">
        <w:rPr>
          <w:sz w:val="24"/>
          <w:szCs w:val="24"/>
        </w:rPr>
        <w:t xml:space="preserve">Jednotlivé faktury budou rozděleny </w:t>
      </w:r>
      <w:r w:rsidR="00750A54" w:rsidRPr="00561A21">
        <w:rPr>
          <w:sz w:val="24"/>
          <w:szCs w:val="24"/>
        </w:rPr>
        <w:t xml:space="preserve">na jednotlivé stavební soubory a ty rozděleny </w:t>
      </w:r>
      <w:r w:rsidRPr="00561A21">
        <w:rPr>
          <w:sz w:val="24"/>
          <w:szCs w:val="24"/>
        </w:rPr>
        <w:t>na</w:t>
      </w:r>
      <w:r>
        <w:rPr>
          <w:sz w:val="24"/>
          <w:szCs w:val="24"/>
        </w:rPr>
        <w:t xml:space="preserve"> stavební část a strojní část.</w:t>
      </w:r>
    </w:p>
    <w:p w:rsidR="0075034C" w:rsidRDefault="0075034C" w:rsidP="002E7917">
      <w:pPr>
        <w:numPr>
          <w:ilvl w:val="0"/>
          <w:numId w:val="2"/>
        </w:numPr>
        <w:tabs>
          <w:tab w:val="left" w:pos="0"/>
        </w:tabs>
        <w:spacing w:beforeLines="20" w:before="48"/>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2E7917">
      <w:pPr>
        <w:numPr>
          <w:ilvl w:val="0"/>
          <w:numId w:val="2"/>
        </w:numPr>
        <w:tabs>
          <w:tab w:val="left" w:pos="0"/>
        </w:tabs>
        <w:spacing w:beforeLines="20" w:before="48"/>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Pr="00FA5036" w:rsidRDefault="00FA5036" w:rsidP="00FA5036">
      <w:pPr>
        <w:numPr>
          <w:ilvl w:val="0"/>
          <w:numId w:val="2"/>
        </w:numPr>
        <w:tabs>
          <w:tab w:val="right" w:pos="4253"/>
        </w:tabs>
        <w:spacing w:after="120" w:line="288" w:lineRule="auto"/>
        <w:jc w:val="both"/>
        <w:rPr>
          <w:sz w:val="24"/>
          <w:szCs w:val="24"/>
        </w:rPr>
      </w:pPr>
      <w:r>
        <w:rPr>
          <w:sz w:val="24"/>
          <w:szCs w:val="24"/>
        </w:rPr>
        <w:t>Technický dozor nesmí provádět zhotovitel ani osoba s ním propojená dle § 46d zákona č. 137/2006 Sb.</w:t>
      </w:r>
    </w:p>
    <w:p w:rsidR="00AE2642" w:rsidRDefault="00F866AD" w:rsidP="002E7917">
      <w:pPr>
        <w:pStyle w:val="Nadpis6"/>
        <w:spacing w:beforeLines="20" w:before="48" w:after="120"/>
        <w:rPr>
          <w:rFonts w:ascii="Times New Roman" w:hAnsi="Times New Roman"/>
        </w:rPr>
      </w:pPr>
      <w:r>
        <w:rPr>
          <w:rFonts w:ascii="Times New Roman" w:hAnsi="Times New Roman"/>
        </w:rPr>
        <w:lastRenderedPageBreak/>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uvedeném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3972B8">
        <w:rPr>
          <w:color w:val="FF0000"/>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2E7917">
      <w:pPr>
        <w:numPr>
          <w:ilvl w:val="0"/>
          <w:numId w:val="6"/>
        </w:numPr>
        <w:spacing w:beforeLines="20" w:before="48"/>
        <w:jc w:val="both"/>
        <w:rPr>
          <w:sz w:val="24"/>
        </w:rPr>
      </w:pPr>
      <w:r>
        <w:rPr>
          <w:sz w:val="24"/>
        </w:rPr>
        <w:t xml:space="preserve">Záruční doba na provedené dílo je </w:t>
      </w:r>
      <w:r w:rsidR="00750A54">
        <w:rPr>
          <w:sz w:val="24"/>
        </w:rPr>
        <w:t>60</w:t>
      </w:r>
      <w:r w:rsidR="00D5235C">
        <w:rPr>
          <w:sz w:val="24"/>
        </w:rPr>
        <w:t xml:space="preserve"> </w:t>
      </w:r>
      <w:r>
        <w:rPr>
          <w:sz w:val="24"/>
        </w:rPr>
        <w:t>měsíců.</w:t>
      </w:r>
      <w:r w:rsidR="00705208">
        <w:rPr>
          <w:sz w:val="24"/>
        </w:rPr>
        <w:t xml:space="preserve"> </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w:t>
      </w:r>
      <w:bookmarkStart w:id="0" w:name="_GoBack"/>
      <w:bookmarkEnd w:id="0"/>
      <w:r>
        <w:rPr>
          <w:sz w:val="24"/>
        </w:rPr>
        <w:t>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lastRenderedPageBreak/>
        <w:t xml:space="preserve">Odstranění zařízení staveniště a vyklizení staveniště </w:t>
      </w:r>
      <w:r w:rsidR="0004438B" w:rsidRPr="0006644B">
        <w:rPr>
          <w:sz w:val="24"/>
        </w:rPr>
        <w:t xml:space="preserve">bude provedeno nejpozději do   </w:t>
      </w:r>
      <w:r w:rsidR="007F2AA2" w:rsidRPr="0006644B">
        <w:rPr>
          <w:sz w:val="24"/>
        </w:rPr>
        <w:t>7 kalendářních</w:t>
      </w:r>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 xml:space="preserve">profilu zadavatele </w:t>
      </w:r>
      <w:hyperlink r:id="rId9" w:history="1">
        <w:r w:rsidRPr="00974A06">
          <w:rPr>
            <w:rStyle w:val="Hypertextovodkaz"/>
            <w:sz w:val="24"/>
          </w:rPr>
          <w:t>www.as-po.cz</w:t>
        </w:r>
      </w:hyperlink>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806F68">
        <w:rPr>
          <w:color w:val="000000"/>
          <w:sz w:val="24"/>
          <w:szCs w:val="24"/>
        </w:rPr>
        <w:t>20</w:t>
      </w:r>
      <w:r>
        <w:rPr>
          <w:color w:val="000000"/>
          <w:sz w:val="24"/>
          <w:szCs w:val="24"/>
        </w:rPr>
        <w:t> 000 000,-Kč.</w:t>
      </w:r>
    </w:p>
    <w:p w:rsidR="00AE2642"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7D4A64">
      <w:p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Pr="007D4A64" w:rsidRDefault="007D4A64" w:rsidP="007D4A64"/>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2E7917">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2E7917">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6D6F14" w:rsidRDefault="006D6F14" w:rsidP="006D6F14">
      <w:pPr>
        <w:spacing w:beforeLines="20" w:before="48"/>
        <w:jc w:val="both"/>
        <w:rPr>
          <w:sz w:val="24"/>
        </w:rPr>
      </w:pPr>
    </w:p>
    <w:p w:rsidR="006D6F14" w:rsidRDefault="006D6F14" w:rsidP="006D6F14">
      <w:pPr>
        <w:spacing w:beforeLines="20" w:before="48"/>
        <w:jc w:val="both"/>
        <w:rPr>
          <w:sz w:val="24"/>
        </w:rPr>
      </w:pPr>
    </w:p>
    <w:p w:rsidR="00705208" w:rsidRDefault="00705208" w:rsidP="002E7917">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lastRenderedPageBreak/>
        <w:t xml:space="preserve">XI. </w:t>
      </w:r>
      <w:r w:rsidR="00AE2642">
        <w:rPr>
          <w:rFonts w:ascii="Times New Roman" w:hAnsi="Times New Roman"/>
        </w:rPr>
        <w:t>ZÁVĚREČNÁ USTANOVENÍ</w:t>
      </w:r>
    </w:p>
    <w:p w:rsidR="00806F68" w:rsidRPr="00E55CE9" w:rsidRDefault="00806F68" w:rsidP="00806F68">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Pr="00E55CE9">
        <w:rPr>
          <w:bCs/>
          <w:sz w:val="24"/>
        </w:rPr>
        <w:t>sti z ní vzniklé (včetně práv a povinností z porušení tét</w:t>
      </w:r>
      <w:r>
        <w:rPr>
          <w:bCs/>
          <w:sz w:val="24"/>
        </w:rPr>
        <w:t>o</w:t>
      </w:r>
      <w:r w:rsidRPr="00E55CE9">
        <w:rPr>
          <w:bCs/>
          <w:sz w:val="24"/>
        </w:rPr>
        <w:t xml:space="preserve"> smlo</w:t>
      </w:r>
      <w:r>
        <w:rPr>
          <w:bCs/>
          <w:sz w:val="24"/>
        </w:rPr>
        <w:t>uvy, kterému dojde) se</w:t>
      </w:r>
      <w:r w:rsidRPr="00E55CE9">
        <w:rPr>
          <w:bCs/>
          <w:sz w:val="24"/>
        </w:rPr>
        <w:t xml:space="preserve"> budou řídit zákonem č. 89/2012 Sb., občanský zákoník.</w:t>
      </w:r>
      <w:r w:rsidRPr="00E55CE9">
        <w:rPr>
          <w:bCs/>
          <w:color w:val="FF0000"/>
          <w:sz w:val="24"/>
        </w:rPr>
        <w:t xml:space="preserve"> </w:t>
      </w:r>
    </w:p>
    <w:p w:rsidR="00806F68" w:rsidRPr="00356198" w:rsidRDefault="00806F68" w:rsidP="00806F68">
      <w:pPr>
        <w:pStyle w:val="Zkladntext3"/>
        <w:numPr>
          <w:ilvl w:val="0"/>
          <w:numId w:val="10"/>
        </w:numPr>
        <w:spacing w:before="0" w:after="120"/>
        <w:jc w:val="both"/>
        <w:rPr>
          <w:b/>
          <w:bCs/>
        </w:rPr>
      </w:pPr>
      <w:r>
        <w:t>Tato smlouva nabývá účinnosti okamžikem jejího podpisu poslední smluvní stranou.</w:t>
      </w:r>
    </w:p>
    <w:p w:rsidR="00806F68" w:rsidRDefault="00806F68" w:rsidP="00806F68">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Default="00806F68" w:rsidP="00806F68">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Default="00806F68" w:rsidP="00806F68">
      <w:pPr>
        <w:pStyle w:val="Zkladntext3"/>
        <w:numPr>
          <w:ilvl w:val="0"/>
          <w:numId w:val="10"/>
        </w:numPr>
        <w:spacing w:before="0" w:after="120"/>
        <w:jc w:val="both"/>
      </w:pPr>
      <w:r>
        <w:t>Smlouva se vyhotovuje ve čtyřech stejnopisech, z nichž l paré obdrží zhotovitel a 3 paré objednatel.</w:t>
      </w:r>
    </w:p>
    <w:p w:rsidR="00AE2642" w:rsidRDefault="00806F68" w:rsidP="00806F68">
      <w:pPr>
        <w:pStyle w:val="Zkladntext3"/>
        <w:numPr>
          <w:ilvl w:val="0"/>
          <w:numId w:val="10"/>
        </w:numPr>
        <w:spacing w:before="0" w:after="120"/>
        <w:jc w:val="both"/>
      </w:pPr>
      <w:r>
        <w:t>Účastníci smlouvu přečetli, s jejím obsahem souhlasí, což stvrzují svými podpisy.</w:t>
      </w:r>
    </w:p>
    <w:p w:rsidR="00806F68" w:rsidRDefault="00806F68" w:rsidP="00806F68">
      <w:pPr>
        <w:pStyle w:val="Zkladntext3"/>
        <w:spacing w:before="0" w:after="120"/>
        <w:ind w:left="851"/>
        <w:jc w:val="both"/>
      </w:pPr>
    </w:p>
    <w:p w:rsidR="00806F68" w:rsidRDefault="00806F68" w:rsidP="00806F68">
      <w:pPr>
        <w:pStyle w:val="Zkladntext3"/>
        <w:spacing w:before="0" w:after="120"/>
        <w:ind w:left="851"/>
        <w:jc w:val="both"/>
      </w:pPr>
    </w:p>
    <w:p w:rsidR="00806F68" w:rsidRDefault="00806F68" w:rsidP="00806F68">
      <w:pPr>
        <w:pStyle w:val="Zkladntext3"/>
        <w:spacing w:before="0" w:after="120"/>
        <w:ind w:left="851"/>
        <w:jc w:val="both"/>
      </w:pPr>
    </w:p>
    <w:p w:rsidR="00AE2642" w:rsidRDefault="00AE2642" w:rsidP="006D6F14">
      <w:pPr>
        <w:tabs>
          <w:tab w:val="left" w:pos="5250"/>
        </w:tabs>
        <w:spacing w:beforeLines="20" w:before="48"/>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V</w:t>
      </w:r>
      <w:r w:rsidR="006D6F14" w:rsidRPr="006D6F14">
        <w:rPr>
          <w:sz w:val="24"/>
          <w:highlight w:val="yellow"/>
        </w:rPr>
        <w:t>………………</w:t>
      </w:r>
      <w:r w:rsidR="00806F68">
        <w:rPr>
          <w:sz w:val="24"/>
        </w:rPr>
        <w:t xml:space="preserve">  </w:t>
      </w:r>
      <w:r>
        <w:rPr>
          <w:sz w:val="24"/>
        </w:rPr>
        <w:t>dne:</w:t>
      </w:r>
      <w:r w:rsidR="009A71AC">
        <w:rPr>
          <w:sz w:val="24"/>
        </w:rPr>
        <w:t xml:space="preserve"> </w:t>
      </w:r>
      <w:r w:rsidR="006D6F14" w:rsidRPr="006D6F14">
        <w:rPr>
          <w:sz w:val="24"/>
          <w:highlight w:val="yellow"/>
        </w:rPr>
        <w:t>………….</w:t>
      </w:r>
      <w:r w:rsidR="009A71AC">
        <w:rPr>
          <w:sz w:val="24"/>
        </w:rPr>
        <w:t xml:space="preserve">      </w:t>
      </w:r>
      <w:r w:rsidR="00C067BB">
        <w:rPr>
          <w:sz w:val="24"/>
        </w:rPr>
        <w:tab/>
      </w:r>
      <w:r w:rsidR="0012112F">
        <w:rPr>
          <w:sz w:val="24"/>
        </w:rPr>
        <w:t xml:space="preserve">    </w:t>
      </w:r>
      <w:r w:rsidR="00636C4C">
        <w:rPr>
          <w:sz w:val="24"/>
        </w:rPr>
        <w:t xml:space="preserve"> </w:t>
      </w:r>
    </w:p>
    <w:p w:rsidR="00806F68" w:rsidRDefault="00806F68" w:rsidP="002E7917">
      <w:pPr>
        <w:spacing w:beforeLines="20" w:before="48"/>
        <w:rPr>
          <w:sz w:val="24"/>
        </w:rPr>
      </w:pPr>
    </w:p>
    <w:p w:rsidR="00806F68" w:rsidRDefault="00806F68" w:rsidP="002E7917">
      <w:pPr>
        <w:spacing w:beforeLines="20" w:before="48"/>
        <w:rPr>
          <w:sz w:val="24"/>
        </w:rPr>
      </w:pPr>
    </w:p>
    <w:p w:rsidR="001A5AF0" w:rsidRDefault="001A5AF0" w:rsidP="002E7917">
      <w:pPr>
        <w:spacing w:beforeLines="20" w:before="48"/>
        <w:rPr>
          <w:sz w:val="24"/>
        </w:rPr>
      </w:pPr>
    </w:p>
    <w:p w:rsidR="00AE2642" w:rsidRDefault="00806F68" w:rsidP="002E7917">
      <w:pPr>
        <w:spacing w:beforeLines="20" w:before="48"/>
        <w:rPr>
          <w:sz w:val="24"/>
        </w:rPr>
      </w:pPr>
      <w:r>
        <w:rPr>
          <w:sz w:val="24"/>
        </w:rPr>
        <w:t>……..</w:t>
      </w:r>
      <w:r w:rsidR="00AE2642">
        <w:rPr>
          <w:sz w:val="24"/>
        </w:rPr>
        <w:t>......................................................                           ............................................................</w:t>
      </w:r>
    </w:p>
    <w:p w:rsidR="00806F68" w:rsidRDefault="00806F68" w:rsidP="00806F68">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Pr>
          <w:rFonts w:ascii="Times New Roman" w:hAnsi="Times New Roman"/>
          <w:sz w:val="24"/>
        </w:rPr>
        <w:t>rmádní Servisní</w:t>
      </w:r>
      <w:r w:rsidRPr="005E7E7A">
        <w:rPr>
          <w:rFonts w:ascii="Times New Roman" w:hAnsi="Times New Roman"/>
          <w:sz w:val="24"/>
        </w:rPr>
        <w:t>, příspěvková organizace</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4B6C2E">
        <w:rPr>
          <w:sz w:val="24"/>
          <w:shd w:val="clear" w:color="auto" w:fill="FFFF00"/>
        </w:rPr>
        <w:t>……………</w:t>
      </w:r>
      <w:r>
        <w:rPr>
          <w:sz w:val="24"/>
          <w:shd w:val="clear" w:color="auto" w:fill="FFFF00"/>
        </w:rPr>
        <w:t>.....</w:t>
      </w:r>
    </w:p>
    <w:p w:rsidR="00806F68" w:rsidRDefault="00806F68" w:rsidP="00806F68">
      <w:pPr>
        <w:pStyle w:val="Odstavecseseznamem"/>
        <w:spacing w:after="0" w:line="240" w:lineRule="auto"/>
        <w:ind w:left="0"/>
        <w:rPr>
          <w:rFonts w:ascii="Times New Roman" w:hAnsi="Times New Roman"/>
          <w:sz w:val="24"/>
        </w:rPr>
      </w:pPr>
      <w:r>
        <w:rPr>
          <w:rFonts w:ascii="Times New Roman" w:hAnsi="Times New Roman"/>
          <w:sz w:val="24"/>
        </w:rPr>
        <w:t xml:space="preserve">    I</w:t>
      </w:r>
      <w:r w:rsidRPr="005E7E7A">
        <w:rPr>
          <w:rFonts w:ascii="Times New Roman" w:hAnsi="Times New Roman"/>
          <w:sz w:val="24"/>
        </w:rPr>
        <w:t>ng. Dagmar Kynclová, MBA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E7E7A">
        <w:rPr>
          <w:rFonts w:ascii="Times New Roman" w:hAnsi="Times New Roman"/>
          <w:sz w:val="24"/>
        </w:rPr>
        <w:tab/>
      </w:r>
      <w:r w:rsidRPr="004B6C2E">
        <w:rPr>
          <w:sz w:val="24"/>
          <w:shd w:val="clear" w:color="auto" w:fill="FFFF00"/>
        </w:rPr>
        <w:t>……………</w:t>
      </w:r>
      <w:r>
        <w:rPr>
          <w:sz w:val="24"/>
          <w:shd w:val="clear" w:color="auto" w:fill="FFFF00"/>
        </w:rPr>
        <w:t>.....</w:t>
      </w:r>
    </w:p>
    <w:p w:rsidR="00806F68" w:rsidRDefault="00806F68" w:rsidP="00806F68">
      <w:pPr>
        <w:pStyle w:val="Odstavecseseznamem"/>
        <w:spacing w:after="0" w:line="240" w:lineRule="auto"/>
        <w:rPr>
          <w:sz w:val="24"/>
        </w:rPr>
      </w:pPr>
      <w:r>
        <w:rPr>
          <w:rFonts w:ascii="Times New Roman" w:hAnsi="Times New Roman"/>
          <w:sz w:val="24"/>
        </w:rPr>
        <w:t xml:space="preserve">        </w:t>
      </w:r>
      <w:r w:rsidRPr="005E7E7A">
        <w:rPr>
          <w:rFonts w:ascii="Times New Roman" w:hAnsi="Times New Roman"/>
          <w:sz w:val="24"/>
        </w:rPr>
        <w:t>ředitelka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4B6C2E">
        <w:rPr>
          <w:sz w:val="24"/>
          <w:shd w:val="clear" w:color="auto" w:fill="FFFF00"/>
        </w:rPr>
        <w:t>……………</w:t>
      </w:r>
      <w:r>
        <w:rPr>
          <w:sz w:val="24"/>
          <w:shd w:val="clear" w:color="auto" w:fill="FFFF00"/>
        </w:rPr>
        <w:t>.....</w:t>
      </w:r>
    </w:p>
    <w:p w:rsidR="00BB2180" w:rsidRDefault="00BB2180" w:rsidP="00BB2180"/>
    <w:p w:rsidR="00806F68" w:rsidRDefault="00806F68" w:rsidP="00BB2180"/>
    <w:p w:rsidR="00806F68" w:rsidRDefault="00806F68" w:rsidP="00806F68">
      <w:pPr>
        <w:rPr>
          <w:sz w:val="24"/>
          <w:szCs w:val="24"/>
        </w:rPr>
      </w:pPr>
    </w:p>
    <w:p w:rsidR="00806F68" w:rsidRDefault="00806F68" w:rsidP="00806F68">
      <w:pPr>
        <w:rPr>
          <w:sz w:val="24"/>
          <w:szCs w:val="24"/>
        </w:rPr>
      </w:pPr>
      <w:r>
        <w:rPr>
          <w:sz w:val="24"/>
          <w:szCs w:val="24"/>
        </w:rPr>
        <w:t>Přílohy:</w:t>
      </w:r>
    </w:p>
    <w:p w:rsidR="00806F68" w:rsidRDefault="00806F68" w:rsidP="00806F68">
      <w:pPr>
        <w:rPr>
          <w:sz w:val="24"/>
          <w:szCs w:val="24"/>
        </w:rPr>
      </w:pPr>
    </w:p>
    <w:p w:rsidR="00806F68" w:rsidRPr="00C73640" w:rsidRDefault="00806F68" w:rsidP="00806F68">
      <w:pPr>
        <w:rPr>
          <w:sz w:val="24"/>
          <w:szCs w:val="24"/>
        </w:rPr>
      </w:pPr>
      <w:r w:rsidRPr="00C73640">
        <w:rPr>
          <w:sz w:val="24"/>
          <w:szCs w:val="24"/>
        </w:rPr>
        <w:t>Příloha č. 1:</w:t>
      </w:r>
      <w:r w:rsidRPr="00C73640">
        <w:rPr>
          <w:sz w:val="24"/>
          <w:szCs w:val="24"/>
        </w:rPr>
        <w:tab/>
      </w:r>
      <w:r>
        <w:rPr>
          <w:sz w:val="24"/>
          <w:szCs w:val="24"/>
        </w:rPr>
        <w:t>Naceněný soupis stavebních prací a dodávek (</w:t>
      </w:r>
      <w:r w:rsidRPr="005E7E7A">
        <w:rPr>
          <w:sz w:val="24"/>
          <w:szCs w:val="24"/>
          <w:highlight w:val="yellow"/>
        </w:rPr>
        <w:t>…</w:t>
      </w:r>
      <w:r>
        <w:rPr>
          <w:sz w:val="24"/>
          <w:szCs w:val="24"/>
        </w:rPr>
        <w:t xml:space="preserve"> listů)</w:t>
      </w:r>
    </w:p>
    <w:p w:rsidR="00806F68" w:rsidRDefault="00806F68" w:rsidP="00BB2180"/>
    <w:sectPr w:rsidR="00806F68"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47" w:rsidRDefault="00351647">
      <w:r>
        <w:separator/>
      </w:r>
    </w:p>
  </w:endnote>
  <w:endnote w:type="continuationSeparator" w:id="0">
    <w:p w:rsidR="00351647" w:rsidRDefault="0035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6D6F14">
      <w:rPr>
        <w:rStyle w:val="slostrnky"/>
        <w:noProof/>
      </w:rPr>
      <w:t>3</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47" w:rsidRDefault="00351647">
      <w:r>
        <w:separator/>
      </w:r>
    </w:p>
  </w:footnote>
  <w:footnote w:type="continuationSeparator" w:id="0">
    <w:p w:rsidR="00351647" w:rsidRDefault="0035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5" w:rsidRPr="00731325" w:rsidRDefault="00FA5036" w:rsidP="00731325">
    <w:pPr>
      <w:pStyle w:val="Zhlav"/>
      <w:jc w:val="right"/>
      <w:rPr>
        <w:sz w:val="24"/>
        <w:szCs w:val="24"/>
      </w:rPr>
    </w:pPr>
    <w:r>
      <w:rPr>
        <w:sz w:val="24"/>
        <w:szCs w:val="24"/>
      </w:rPr>
      <w:t xml:space="preserve">Příloha č. </w:t>
    </w:r>
    <w:r w:rsidR="00E727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2">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4">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19">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19"/>
  </w:num>
  <w:num w:numId="5">
    <w:abstractNumId w:val="21"/>
  </w:num>
  <w:num w:numId="6">
    <w:abstractNumId w:val="5"/>
  </w:num>
  <w:num w:numId="7">
    <w:abstractNumId w:val="3"/>
  </w:num>
  <w:num w:numId="8">
    <w:abstractNumId w:val="16"/>
  </w:num>
  <w:num w:numId="9">
    <w:abstractNumId w:val="2"/>
  </w:num>
  <w:num w:numId="10">
    <w:abstractNumId w:val="17"/>
  </w:num>
  <w:num w:numId="11">
    <w:abstractNumId w:val="15"/>
  </w:num>
  <w:num w:numId="12">
    <w:abstractNumId w:val="6"/>
  </w:num>
  <w:num w:numId="13">
    <w:abstractNumId w:val="0"/>
  </w:num>
  <w:num w:numId="14">
    <w:abstractNumId w:val="14"/>
  </w:num>
  <w:num w:numId="15">
    <w:abstractNumId w:val="7"/>
  </w:num>
  <w:num w:numId="16">
    <w:abstractNumId w:val="13"/>
  </w:num>
  <w:num w:numId="17">
    <w:abstractNumId w:val="18"/>
  </w:num>
  <w:num w:numId="18">
    <w:abstractNumId w:val="12"/>
  </w:num>
  <w:num w:numId="19">
    <w:abstractNumId w:val="20"/>
  </w:num>
  <w:num w:numId="20">
    <w:abstractNumId w:val="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BCA"/>
    <w:rsid w:val="00013221"/>
    <w:rsid w:val="000132A7"/>
    <w:rsid w:val="00020971"/>
    <w:rsid w:val="00036744"/>
    <w:rsid w:val="0004438B"/>
    <w:rsid w:val="00053D8D"/>
    <w:rsid w:val="00064B1D"/>
    <w:rsid w:val="0006644B"/>
    <w:rsid w:val="0007119C"/>
    <w:rsid w:val="00082EE7"/>
    <w:rsid w:val="00085ACD"/>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203EBD"/>
    <w:rsid w:val="00251A87"/>
    <w:rsid w:val="002658A9"/>
    <w:rsid w:val="002821D9"/>
    <w:rsid w:val="002B65DD"/>
    <w:rsid w:val="002C458F"/>
    <w:rsid w:val="002D2786"/>
    <w:rsid w:val="002D52B0"/>
    <w:rsid w:val="002E7917"/>
    <w:rsid w:val="00302F96"/>
    <w:rsid w:val="0032040C"/>
    <w:rsid w:val="00346428"/>
    <w:rsid w:val="00351647"/>
    <w:rsid w:val="00353802"/>
    <w:rsid w:val="0036638E"/>
    <w:rsid w:val="0039725D"/>
    <w:rsid w:val="003972B8"/>
    <w:rsid w:val="003B0799"/>
    <w:rsid w:val="003B70C8"/>
    <w:rsid w:val="003C35A8"/>
    <w:rsid w:val="003D0288"/>
    <w:rsid w:val="003D29D6"/>
    <w:rsid w:val="003D5A9B"/>
    <w:rsid w:val="003F4000"/>
    <w:rsid w:val="004023C0"/>
    <w:rsid w:val="004331C0"/>
    <w:rsid w:val="004357B7"/>
    <w:rsid w:val="0044446E"/>
    <w:rsid w:val="004540F1"/>
    <w:rsid w:val="00455900"/>
    <w:rsid w:val="00457DD3"/>
    <w:rsid w:val="0046156D"/>
    <w:rsid w:val="00465C84"/>
    <w:rsid w:val="00473AE3"/>
    <w:rsid w:val="00481EBB"/>
    <w:rsid w:val="0048318A"/>
    <w:rsid w:val="004934DE"/>
    <w:rsid w:val="00495DE3"/>
    <w:rsid w:val="004B3E4F"/>
    <w:rsid w:val="004F49F6"/>
    <w:rsid w:val="004F699B"/>
    <w:rsid w:val="00502E1D"/>
    <w:rsid w:val="005138E7"/>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4F9"/>
    <w:rsid w:val="00690BCB"/>
    <w:rsid w:val="006A1AA4"/>
    <w:rsid w:val="006A5382"/>
    <w:rsid w:val="006B45DB"/>
    <w:rsid w:val="006D2154"/>
    <w:rsid w:val="006D6F1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853A6"/>
    <w:rsid w:val="00791998"/>
    <w:rsid w:val="00793B5A"/>
    <w:rsid w:val="007947EA"/>
    <w:rsid w:val="007B6975"/>
    <w:rsid w:val="007C4B3B"/>
    <w:rsid w:val="007C4DEA"/>
    <w:rsid w:val="007D362F"/>
    <w:rsid w:val="007D4A64"/>
    <w:rsid w:val="007E7EE1"/>
    <w:rsid w:val="007F2AA2"/>
    <w:rsid w:val="00803355"/>
    <w:rsid w:val="00806F68"/>
    <w:rsid w:val="008249D7"/>
    <w:rsid w:val="008374CD"/>
    <w:rsid w:val="00842029"/>
    <w:rsid w:val="0084231E"/>
    <w:rsid w:val="00847843"/>
    <w:rsid w:val="00874BE4"/>
    <w:rsid w:val="00880B99"/>
    <w:rsid w:val="008A1017"/>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5FEB"/>
    <w:rsid w:val="009A71AC"/>
    <w:rsid w:val="00A12DBD"/>
    <w:rsid w:val="00A256C9"/>
    <w:rsid w:val="00A3017A"/>
    <w:rsid w:val="00A333A0"/>
    <w:rsid w:val="00A54045"/>
    <w:rsid w:val="00A57703"/>
    <w:rsid w:val="00A77B67"/>
    <w:rsid w:val="00A82DEA"/>
    <w:rsid w:val="00A8687A"/>
    <w:rsid w:val="00A87620"/>
    <w:rsid w:val="00AB10C1"/>
    <w:rsid w:val="00AB695B"/>
    <w:rsid w:val="00AC384A"/>
    <w:rsid w:val="00AD3584"/>
    <w:rsid w:val="00AE2642"/>
    <w:rsid w:val="00AE3EFB"/>
    <w:rsid w:val="00B753A2"/>
    <w:rsid w:val="00B90640"/>
    <w:rsid w:val="00B90B47"/>
    <w:rsid w:val="00B9303C"/>
    <w:rsid w:val="00BB2180"/>
    <w:rsid w:val="00BD463F"/>
    <w:rsid w:val="00C067BB"/>
    <w:rsid w:val="00C12C0B"/>
    <w:rsid w:val="00C13571"/>
    <w:rsid w:val="00C21BF4"/>
    <w:rsid w:val="00C51BA5"/>
    <w:rsid w:val="00C56DD3"/>
    <w:rsid w:val="00C73640"/>
    <w:rsid w:val="00C77854"/>
    <w:rsid w:val="00C9449D"/>
    <w:rsid w:val="00CA6AD5"/>
    <w:rsid w:val="00CD15A7"/>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72798"/>
    <w:rsid w:val="00E75237"/>
    <w:rsid w:val="00E85099"/>
    <w:rsid w:val="00E873B3"/>
    <w:rsid w:val="00EB1CB6"/>
    <w:rsid w:val="00EB2847"/>
    <w:rsid w:val="00EB7238"/>
    <w:rsid w:val="00EF3C51"/>
    <w:rsid w:val="00EF5E3C"/>
    <w:rsid w:val="00F001D3"/>
    <w:rsid w:val="00F150A3"/>
    <w:rsid w:val="00F36D29"/>
    <w:rsid w:val="00F371C8"/>
    <w:rsid w:val="00F50AAE"/>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0itsVDc32UWkZfGm0L+1vRPzGaY=</ds:DigestValue>
    </ds:Reference>
  </ds:SignedInfo>
  <ds:SignatureValue>sMSVU1uwzZ7MWvtLKwsrX6cB3F7TwcCdWdMmTRSeb/aalTirXTCFEg1Ld8lptblAhgU8RyZwClEc8pXfvvnxVmKl70RwdqmsbcLw3BaWGtjJBIDSi3vIgbiDg+3Cokew+1D9tbuFwwR1aj0oz17d2IDzxwIhzjde901XDFlUeiQRWEmEnpyvMczu2pCBUD3MMmiXkpqE193rtFwcmRUVaI9OAUNOcob5wpg3LfZrBTmHAL9zc248vy2Mvo8rYvtmAaqa/boObAzhNAT2nqjS1weZg4E+WLqm36+0EqRL4fcg5RtU+bdiNdWAE0/BfsXccc1Xo/lidXgiqoxReu8AkQ==</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tZczvrAu1xTJJLW9nF3IozHR74k=</ds:DigestValue>
      </ds:Reference>
      <ds:Reference URI="/word/endnotes.xml?ContentType=application/vnd.openxmlformats-officedocument.wordprocessingml.endnotes+xml">
        <ds:DigestMethod Algorithm="http://www.w3.org/2000/09/xmldsig#sha1"/>
        <ds:DigestValue>JDMbDgZCU4mYIEomp6h186btNoE=</ds:DigestValue>
      </ds:Reference>
      <ds:Reference URI="/word/footer2.xml?ContentType=application/vnd.openxmlformats-officedocument.wordprocessingml.footer+xml">
        <ds:DigestMethod Algorithm="http://www.w3.org/2000/09/xmldsig#sha1"/>
        <ds:DigestValue>/tiFIPdTBj8B5CjuVjwjlTXiR5Y=</ds:DigestValue>
      </ds:Reference>
      <ds:Reference URI="/word/styles.xml?ContentType=application/vnd.openxmlformats-officedocument.wordprocessingml.styles+xml">
        <ds:DigestMethod Algorithm="http://www.w3.org/2000/09/xmldsig#sha1"/>
        <ds:DigestValue>kf2p8D6sRB4mlo8W/PMve7lIAgE=</ds:DigestValue>
      </ds:Reference>
      <ds:Reference URI="/word/footnotes.xml?ContentType=application/vnd.openxmlformats-officedocument.wordprocessingml.footnotes+xml">
        <ds:DigestMethod Algorithm="http://www.w3.org/2000/09/xmldsig#sha1"/>
        <ds:DigestValue>5+j38JrCJA0+lw8Vc+Cil9awiAE=</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J5kzcXmX8K1p4oDfGH2G61kSoeE=</ds:DigestValue>
      </ds:Reference>
      <ds:Reference URI="/word/webSettings.xml?ContentType=application/vnd.openxmlformats-officedocument.wordprocessingml.webSettings+xml">
        <ds:DigestMethod Algorithm="http://www.w3.org/2000/09/xmldsig#sha1"/>
        <ds:DigestValue>MlkX8SI5FZ93xNiya/5nJFvtnMY=</ds:DigestValue>
      </ds:Reference>
      <ds:Reference URI="/word/header2.xml?ContentType=application/vnd.openxmlformats-officedocument.wordprocessingml.header+xml">
        <ds:DigestMethod Algorithm="http://www.w3.org/2000/09/xmldsig#sha1"/>
        <ds:DigestValue>BKv/MuPnSHTeJk2yrpKWtE4X1DI=</ds:DigestValue>
      </ds:Reference>
      <ds:Reference URI="/word/settings.xml?ContentType=application/vnd.openxmlformats-officedocument.wordprocessingml.settings+xml">
        <ds:DigestMethod Algorithm="http://www.w3.org/2000/09/xmldsig#sha1"/>
        <ds:DigestValue>sNnVmWkJ3c/EjnlT3g7XnEokm1U=</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MEoZbuXkpj+HtKelRkywK7a4t58=</ds:DigestValue>
      </ds:Reference>
      <ds:Reference URI="/docProps/core.xml?ContentType=application/vnd.openxmlformats-package.core-properties+xml">
        <ds:DigestMethod Algorithm="http://www.w3.org/2000/09/xmldsig#sha1"/>
        <ds:DigestValue>R59FPcsgbSxXtntFRXvDQunda7Q=</ds:DigestValue>
      </ds:Reference>
    </ds:Manifest>
    <ds:SignatureProperties>
      <ds:SignatureProperty Id="idSignatureTime" Target="#idSignature1">
        <SignatureTime xmlns="http://schemas.openxmlformats.org/package/2006/digital-signature">
          <Format>YYYY-MM-DDThh:mm:ss.sTZD</Format>
          <Value>2014-05-23T10:53:46.4Z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094D-8F1C-4CEB-AD27-D602D3C7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11091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12912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2</cp:revision>
  <cp:lastPrinted>2012-05-31T09:20:00Z</cp:lastPrinted>
  <dcterms:created xsi:type="dcterms:W3CDTF">2014-05-23T08:06:00Z</dcterms:created>
  <dcterms:modified xsi:type="dcterms:W3CDTF">2014-05-23T08:06:00Z</dcterms:modified>
</cp:coreProperties>
</file>