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Default="00064B1D" w:rsidP="008F59AC">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B92ADD" w:rsidRPr="00A35C8B" w:rsidRDefault="00B92ADD" w:rsidP="00B92ADD">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00AC38E7">
        <w:rPr>
          <w:rFonts w:ascii="Times New Roman" w:hAnsi="Times New Roman"/>
          <w:i w:val="0"/>
          <w:caps/>
          <w:spacing w:val="100"/>
          <w:sz w:val="32"/>
        </w:rPr>
        <w:t>U</w:t>
      </w:r>
      <w:r>
        <w:rPr>
          <w:rFonts w:ascii="Times New Roman" w:hAnsi="Times New Roman"/>
          <w:i w:val="0"/>
          <w:caps/>
          <w:spacing w:val="100"/>
          <w:sz w:val="32"/>
        </w:rPr>
        <w:t>-xxx-</w:t>
      </w:r>
      <w:r w:rsidR="00255DF6">
        <w:rPr>
          <w:rFonts w:ascii="Times New Roman" w:hAnsi="Times New Roman"/>
          <w:i w:val="0"/>
          <w:caps/>
          <w:spacing w:val="100"/>
          <w:sz w:val="32"/>
        </w:rPr>
        <w:t>00/14</w:t>
      </w:r>
    </w:p>
    <w:p w:rsidR="00B92ADD" w:rsidRPr="00B92ADD" w:rsidRDefault="00B92ADD" w:rsidP="008F59AC">
      <w:pPr>
        <w:pStyle w:val="Zkladntext"/>
        <w:spacing w:beforeLines="20" w:before="48"/>
        <w:jc w:val="center"/>
        <w:rPr>
          <w:rFonts w:ascii="Times New Roman" w:hAnsi="Times New Roman"/>
          <w:i w:val="0"/>
          <w:caps/>
          <w:spacing w:val="100"/>
          <w:szCs w:val="24"/>
        </w:rPr>
      </w:pP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w:t>
      </w:r>
      <w:proofErr w:type="gramStart"/>
      <w:r w:rsidR="00E55CE9" w:rsidRPr="00B92ADD">
        <w:rPr>
          <w:rFonts w:ascii="Times New Roman" w:hAnsi="Times New Roman"/>
        </w:rPr>
        <w:t>zák.č.</w:t>
      </w:r>
      <w:proofErr w:type="gramEnd"/>
      <w:r w:rsidR="00E55CE9" w:rsidRPr="00B92ADD">
        <w:rPr>
          <w:rFonts w:ascii="Times New Roman" w:hAnsi="Times New Roman"/>
        </w:rPr>
        <w:t>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AE2642">
            <w:pPr>
              <w:spacing w:beforeLines="20" w:before="48"/>
              <w:rPr>
                <w:b/>
                <w:sz w:val="24"/>
              </w:rPr>
            </w:pPr>
            <w:r>
              <w:rPr>
                <w:b/>
                <w:sz w:val="24"/>
              </w:rPr>
              <w:t xml:space="preserve">OBJEDNATEL:        </w:t>
            </w:r>
          </w:p>
          <w:p w:rsidR="00AE2642" w:rsidRDefault="0077767A" w:rsidP="0077767A">
            <w:pPr>
              <w:rPr>
                <w:b/>
                <w:sz w:val="24"/>
              </w:rPr>
            </w:pPr>
            <w:r>
              <w:rPr>
                <w:i/>
                <w:sz w:val="24"/>
              </w:rPr>
              <w:t>Zapsaný v obchodním rejstříku u:</w:t>
            </w:r>
          </w:p>
        </w:tc>
        <w:tc>
          <w:tcPr>
            <w:tcW w:w="6164" w:type="dxa"/>
            <w:shd w:val="clear" w:color="00FFFF" w:fill="auto"/>
          </w:tcPr>
          <w:p w:rsidR="00AE2642" w:rsidRDefault="005963A8">
            <w:pPr>
              <w:pStyle w:val="Nadpis3"/>
              <w:spacing w:beforeLines="20" w:before="48"/>
              <w:rPr>
                <w:rFonts w:ascii="Times New Roman" w:hAnsi="Times New Roman"/>
              </w:rPr>
            </w:pPr>
            <w:r>
              <w:rPr>
                <w:rFonts w:ascii="Times New Roman" w:hAnsi="Times New Roman"/>
              </w:rPr>
              <w:t>Armádní Servisní, příspěvková organizace</w:t>
            </w:r>
          </w:p>
          <w:p w:rsidR="0077767A" w:rsidRPr="0077767A" w:rsidRDefault="0077767A" w:rsidP="0077767A">
            <w:r>
              <w:rPr>
                <w:sz w:val="24"/>
              </w:rPr>
              <w:t xml:space="preserve">Městského soudu v Praze, oddíl </w:t>
            </w:r>
            <w:proofErr w:type="spellStart"/>
            <w:r>
              <w:rPr>
                <w:sz w:val="24"/>
              </w:rPr>
              <w:t>Pr</w:t>
            </w:r>
            <w:proofErr w:type="spellEnd"/>
            <w:r>
              <w:rPr>
                <w:sz w:val="24"/>
              </w:rPr>
              <w:t>., vložka č. 1342</w:t>
            </w:r>
          </w:p>
        </w:tc>
      </w:tr>
      <w:tr w:rsidR="00AE2642" w:rsidTr="00403490">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CE1C55">
            <w:pPr>
              <w:spacing w:beforeLines="20" w:before="48"/>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403490">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403490">
        <w:trPr>
          <w:trHeight w:val="357"/>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rsidTr="00403490">
        <w:trPr>
          <w:trHeight w:val="480"/>
          <w:jc w:val="center"/>
        </w:trPr>
        <w:tc>
          <w:tcPr>
            <w:tcW w:w="3614" w:type="dxa"/>
          </w:tcPr>
          <w:p w:rsidR="00AE2642" w:rsidRDefault="00AE2642" w:rsidP="00773F23">
            <w:pPr>
              <w:rPr>
                <w:i/>
                <w:sz w:val="24"/>
              </w:rPr>
            </w:pPr>
            <w:r>
              <w:rPr>
                <w:i/>
                <w:sz w:val="24"/>
              </w:rPr>
              <w:t>- jednat ve věcech technických:</w:t>
            </w:r>
          </w:p>
          <w:p w:rsidR="00EA6BC7" w:rsidRDefault="00EA6BC7" w:rsidP="00773F23">
            <w:pPr>
              <w:rPr>
                <w:i/>
                <w:sz w:val="24"/>
              </w:rPr>
            </w:pPr>
            <w:r>
              <w:rPr>
                <w:i/>
                <w:sz w:val="24"/>
              </w:rPr>
              <w:t>(dále jen „objednatel“)</w:t>
            </w:r>
          </w:p>
        </w:tc>
        <w:tc>
          <w:tcPr>
            <w:tcW w:w="6164" w:type="dxa"/>
          </w:tcPr>
          <w:p w:rsidR="00AE2642" w:rsidRPr="000D0F05" w:rsidRDefault="00B26C3D" w:rsidP="00B26C3D">
            <w:pPr>
              <w:rPr>
                <w:sz w:val="24"/>
              </w:rPr>
            </w:pPr>
            <w:r>
              <w:rPr>
                <w:sz w:val="24"/>
              </w:rPr>
              <w:t>Ing. Zdeněk Šenkyřík</w:t>
            </w:r>
            <w:r w:rsidR="00731325" w:rsidRPr="000D0F05">
              <w:rPr>
                <w:sz w:val="24"/>
              </w:rPr>
              <w:t xml:space="preserve">, tel.: </w:t>
            </w:r>
            <w:r w:rsidR="00B14AB8">
              <w:rPr>
                <w:sz w:val="24"/>
              </w:rPr>
              <w:t>602</w:t>
            </w:r>
            <w:r>
              <w:rPr>
                <w:sz w:val="24"/>
              </w:rPr>
              <w:t> 279 471</w:t>
            </w:r>
          </w:p>
        </w:tc>
      </w:tr>
      <w:tr w:rsidR="00403490" w:rsidTr="00403490">
        <w:trPr>
          <w:trHeight w:val="284"/>
          <w:jc w:val="center"/>
        </w:trPr>
        <w:tc>
          <w:tcPr>
            <w:tcW w:w="3614" w:type="dxa"/>
            <w:shd w:val="clear" w:color="00FFFF" w:fill="auto"/>
          </w:tcPr>
          <w:p w:rsidR="00403490" w:rsidRDefault="00403490" w:rsidP="00306661">
            <w:pPr>
              <w:spacing w:before="120" w:after="120"/>
              <w:rPr>
                <w:b/>
                <w:sz w:val="24"/>
              </w:rPr>
            </w:pPr>
            <w:r>
              <w:rPr>
                <w:b/>
                <w:sz w:val="24"/>
              </w:rPr>
              <w:t>ZHOTOVITEL:</w:t>
            </w:r>
            <w:r w:rsidR="00EA6BC7">
              <w:rPr>
                <w:b/>
                <w:sz w:val="24"/>
              </w:rPr>
              <w:t xml:space="preserve">                              </w:t>
            </w:r>
            <w:r w:rsidR="00EA6BC7" w:rsidRPr="008377B4">
              <w:rPr>
                <w:bCs/>
                <w:i/>
                <w:sz w:val="24"/>
              </w:rPr>
              <w:t>Zapsan</w:t>
            </w:r>
            <w:r w:rsidR="00EA6BC7">
              <w:rPr>
                <w:bCs/>
                <w:i/>
                <w:sz w:val="24"/>
              </w:rPr>
              <w:t>ý</w:t>
            </w:r>
            <w:r w:rsidR="00EA6BC7" w:rsidRPr="008377B4">
              <w:rPr>
                <w:bCs/>
                <w:i/>
                <w:sz w:val="24"/>
              </w:rPr>
              <w:t xml:space="preserve"> v obchodním rejstříku u:</w:t>
            </w:r>
          </w:p>
        </w:tc>
        <w:tc>
          <w:tcPr>
            <w:tcW w:w="6164" w:type="dxa"/>
            <w:shd w:val="clear" w:color="00FFFF" w:fill="auto"/>
          </w:tcPr>
          <w:p w:rsidR="00403490" w:rsidRPr="00403490" w:rsidRDefault="00403490" w:rsidP="00306661">
            <w:pPr>
              <w:spacing w:before="120"/>
              <w:rPr>
                <w:bCs/>
                <w:sz w:val="24"/>
                <w:highlight w:val="yellow"/>
              </w:rPr>
            </w:pPr>
            <w:r w:rsidRPr="00403490">
              <w:rPr>
                <w:bCs/>
                <w:sz w:val="24"/>
                <w:highlight w:val="yellow"/>
              </w:rPr>
              <w:t>…………………………………………………………………</w:t>
            </w:r>
            <w:r w:rsidR="00EA6BC7">
              <w:rPr>
                <w:bCs/>
                <w:sz w:val="24"/>
                <w:highlight w:val="yellow"/>
              </w:rPr>
              <w:t>…………………………………………………………………</w:t>
            </w:r>
          </w:p>
        </w:tc>
      </w:tr>
      <w:tr w:rsidR="00403490" w:rsidTr="00403490">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p w:rsidR="00EA6BC7" w:rsidRDefault="00EA6BC7" w:rsidP="00306661">
            <w:pPr>
              <w:rPr>
                <w:i/>
                <w:sz w:val="24"/>
              </w:rPr>
            </w:pPr>
            <w:r>
              <w:rPr>
                <w:i/>
                <w:sz w:val="24"/>
              </w:rPr>
              <w:t>Odpovědní zástupci pro jednání:</w:t>
            </w:r>
          </w:p>
          <w:p w:rsidR="00EA6BC7" w:rsidRDefault="00EA6BC7" w:rsidP="00EA6BC7">
            <w:pPr>
              <w:rPr>
                <w:i/>
                <w:sz w:val="24"/>
              </w:rPr>
            </w:pPr>
            <w:r w:rsidRPr="00EA6BC7">
              <w:rPr>
                <w:i/>
                <w:sz w:val="24"/>
              </w:rPr>
              <w:t>-</w:t>
            </w:r>
            <w:r>
              <w:rPr>
                <w:i/>
                <w:sz w:val="24"/>
              </w:rPr>
              <w:t xml:space="preserve"> jednat ve věcech smluvních:</w:t>
            </w:r>
          </w:p>
          <w:p w:rsidR="00EA6BC7" w:rsidRDefault="00EA6BC7" w:rsidP="00EA6BC7">
            <w:pPr>
              <w:rPr>
                <w:i/>
                <w:sz w:val="24"/>
              </w:rPr>
            </w:pPr>
            <w:r>
              <w:rPr>
                <w:i/>
                <w:sz w:val="24"/>
              </w:rPr>
              <w:t>- jednat ve věcech technických:</w:t>
            </w:r>
          </w:p>
        </w:tc>
        <w:tc>
          <w:tcPr>
            <w:tcW w:w="6164" w:type="dxa"/>
          </w:tcPr>
          <w:p w:rsidR="00403490" w:rsidRDefault="00403490" w:rsidP="00306661">
            <w:pPr>
              <w:rPr>
                <w:sz w:val="24"/>
                <w:highlight w:val="yellow"/>
              </w:rPr>
            </w:pPr>
            <w:r w:rsidRPr="00403490">
              <w:rPr>
                <w:sz w:val="24"/>
                <w:highlight w:val="yellow"/>
              </w:rPr>
              <w:t>……………………………..…………………………………..……………………………………………………………………………………………………………………………………</w:t>
            </w:r>
          </w:p>
          <w:p w:rsidR="00EA6BC7" w:rsidRDefault="00EA6BC7" w:rsidP="00306661">
            <w:pPr>
              <w:rPr>
                <w:sz w:val="24"/>
                <w:highlight w:val="yellow"/>
              </w:rPr>
            </w:pPr>
          </w:p>
          <w:p w:rsidR="00EA6BC7" w:rsidRDefault="00EA6BC7" w:rsidP="00306661">
            <w:pPr>
              <w:rPr>
                <w:sz w:val="24"/>
                <w:highlight w:val="yellow"/>
              </w:rPr>
            </w:pPr>
            <w:r>
              <w:rPr>
                <w:sz w:val="24"/>
                <w:highlight w:val="yellow"/>
              </w:rPr>
              <w:t>…………………………………………………………………</w:t>
            </w:r>
          </w:p>
          <w:p w:rsidR="00EA6BC7" w:rsidRPr="00403490" w:rsidRDefault="00EA6BC7" w:rsidP="00306661">
            <w:pPr>
              <w:rPr>
                <w:sz w:val="24"/>
                <w:highlight w:val="yellow"/>
              </w:rPr>
            </w:pPr>
            <w:r>
              <w:rPr>
                <w:sz w:val="24"/>
                <w:highlight w:val="yellow"/>
              </w:rPr>
              <w:t>…………………………………………………………………</w:t>
            </w:r>
          </w:p>
        </w:tc>
      </w:tr>
      <w:tr w:rsidR="00403490" w:rsidTr="00403490">
        <w:trPr>
          <w:trHeight w:val="20"/>
          <w:jc w:val="center"/>
        </w:trPr>
        <w:tc>
          <w:tcPr>
            <w:tcW w:w="3614" w:type="dxa"/>
            <w:tcBorders>
              <w:bottom w:val="nil"/>
            </w:tcBorders>
          </w:tcPr>
          <w:p w:rsidR="00403490" w:rsidRDefault="00403490" w:rsidP="00306661">
            <w:pPr>
              <w:spacing w:after="120"/>
              <w:rPr>
                <w:i/>
                <w:sz w:val="24"/>
              </w:rPr>
            </w:pPr>
            <w:r>
              <w:rPr>
                <w:i/>
                <w:sz w:val="24"/>
              </w:rPr>
              <w:t xml:space="preserve">(dále jen „zhotovitel“)  </w:t>
            </w:r>
          </w:p>
        </w:tc>
        <w:tc>
          <w:tcPr>
            <w:tcW w:w="6164" w:type="dxa"/>
            <w:tcBorders>
              <w:bottom w:val="nil"/>
            </w:tcBorders>
          </w:tcPr>
          <w:p w:rsidR="00403490" w:rsidRDefault="00403490">
            <w:pPr>
              <w:spacing w:beforeLines="20" w:before="48"/>
              <w:rPr>
                <w:sz w:val="24"/>
              </w:rPr>
            </w:pPr>
          </w:p>
        </w:tc>
      </w:tr>
    </w:tbl>
    <w:p w:rsidR="00AE2642" w:rsidRDefault="00AE2642">
      <w:pPr>
        <w:spacing w:beforeLines="20" w:before="48"/>
        <w:ind w:left="-284"/>
        <w:jc w:val="both"/>
        <w:rPr>
          <w:b/>
          <w:sz w:val="24"/>
        </w:rPr>
      </w:pPr>
    </w:p>
    <w:p w:rsidR="00AE2642" w:rsidRDefault="00AE2642">
      <w:pPr>
        <w:spacing w:beforeLines="20" w:before="48"/>
        <w:ind w:left="-284"/>
        <w:jc w:val="both"/>
        <w:rPr>
          <w:b/>
          <w:sz w:val="24"/>
        </w:rPr>
      </w:pPr>
      <w:r>
        <w:rPr>
          <w:b/>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77767A" w:rsidRPr="00F403D0" w:rsidRDefault="0077767A" w:rsidP="0077767A">
      <w:pPr>
        <w:jc w:val="both"/>
        <w:rPr>
          <w:b/>
          <w:sz w:val="24"/>
          <w:szCs w:val="24"/>
        </w:rPr>
      </w:pPr>
    </w:p>
    <w:p w:rsidR="00A463FF" w:rsidRDefault="00F403D0" w:rsidP="00B26C3D">
      <w:pPr>
        <w:jc w:val="both"/>
        <w:rPr>
          <w:bCs/>
          <w:iCs/>
          <w:color w:val="000000"/>
          <w:sz w:val="24"/>
          <w:szCs w:val="24"/>
        </w:rPr>
      </w:pPr>
      <w:r w:rsidRPr="00A463FF">
        <w:rPr>
          <w:sz w:val="24"/>
          <w:szCs w:val="24"/>
        </w:rPr>
        <w:t xml:space="preserve">Předmětem </w:t>
      </w:r>
      <w:r w:rsidR="00EA6BC7" w:rsidRPr="00A463FF">
        <w:rPr>
          <w:sz w:val="24"/>
          <w:szCs w:val="24"/>
        </w:rPr>
        <w:t xml:space="preserve">díle je </w:t>
      </w:r>
      <w:proofErr w:type="spellStart"/>
      <w:r w:rsidR="00B26C3D" w:rsidRPr="002B4BDE">
        <w:rPr>
          <w:rFonts w:eastAsia="Calibri"/>
          <w:bCs/>
          <w:sz w:val="24"/>
          <w:szCs w:val="24"/>
          <w:lang w:eastAsia="en-US"/>
        </w:rPr>
        <w:t>je</w:t>
      </w:r>
      <w:proofErr w:type="spellEnd"/>
      <w:r w:rsidR="00B26C3D" w:rsidRPr="002B4BDE">
        <w:rPr>
          <w:rFonts w:eastAsia="Calibri"/>
          <w:bCs/>
          <w:sz w:val="24"/>
          <w:szCs w:val="24"/>
          <w:lang w:eastAsia="en-US"/>
        </w:rPr>
        <w:t xml:space="preserve"> </w:t>
      </w:r>
      <w:r w:rsidR="00B26C3D" w:rsidRPr="002B4BDE">
        <w:rPr>
          <w:bCs/>
          <w:color w:val="000000"/>
          <w:sz w:val="24"/>
          <w:szCs w:val="24"/>
        </w:rPr>
        <w:t>v</w:t>
      </w:r>
      <w:r w:rsidR="00B26C3D" w:rsidRPr="002B4BDE">
        <w:rPr>
          <w:bCs/>
          <w:iCs/>
          <w:color w:val="000000"/>
          <w:sz w:val="24"/>
          <w:szCs w:val="24"/>
        </w:rPr>
        <w:t xml:space="preserve">ýměna stávajících </w:t>
      </w:r>
      <w:r w:rsidR="00B26C3D" w:rsidRPr="002B4BDE">
        <w:rPr>
          <w:color w:val="000000"/>
          <w:sz w:val="24"/>
          <w:szCs w:val="24"/>
        </w:rPr>
        <w:t>dřevěných a ocelových oken a dveří za plastová a hliníková okna</w:t>
      </w:r>
      <w:r w:rsidR="00B26C3D" w:rsidRPr="002B4BDE">
        <w:rPr>
          <w:bCs/>
          <w:iCs/>
          <w:color w:val="000000"/>
          <w:sz w:val="24"/>
          <w:szCs w:val="24"/>
        </w:rPr>
        <w:t xml:space="preserve"> a dveře včetně výměny vstupních sestav.</w:t>
      </w:r>
    </w:p>
    <w:p w:rsidR="00B26C3D" w:rsidRDefault="00B26C3D" w:rsidP="00B26C3D">
      <w:pPr>
        <w:jc w:val="both"/>
        <w:rPr>
          <w:bCs/>
          <w:iCs/>
          <w:color w:val="000000"/>
          <w:sz w:val="24"/>
          <w:szCs w:val="24"/>
        </w:rPr>
      </w:pPr>
    </w:p>
    <w:p w:rsidR="00B26C3D" w:rsidRPr="00973E4C" w:rsidRDefault="00B26C3D" w:rsidP="00B26C3D">
      <w:pPr>
        <w:numPr>
          <w:ilvl w:val="0"/>
          <w:numId w:val="30"/>
        </w:numPr>
        <w:autoSpaceDE w:val="0"/>
        <w:autoSpaceDN w:val="0"/>
        <w:adjustRightInd w:val="0"/>
        <w:jc w:val="both"/>
        <w:rPr>
          <w:color w:val="000000"/>
          <w:sz w:val="24"/>
          <w:szCs w:val="24"/>
        </w:rPr>
      </w:pPr>
      <w:r w:rsidRPr="00973E4C">
        <w:rPr>
          <w:color w:val="000000"/>
          <w:sz w:val="24"/>
          <w:szCs w:val="24"/>
        </w:rPr>
        <w:t xml:space="preserve">Nová plastová okna barvy bílá/bílá, stavební hloubka minimálně 85 mm, rám okna osazen třetím dorazovým těsněním, trojsklo </w:t>
      </w:r>
      <w:proofErr w:type="spellStart"/>
      <w:r w:rsidRPr="00973E4C">
        <w:rPr>
          <w:color w:val="000000"/>
          <w:sz w:val="24"/>
          <w:szCs w:val="24"/>
        </w:rPr>
        <w:t>U</w:t>
      </w:r>
      <w:r w:rsidRPr="00973E4C">
        <w:rPr>
          <w:color w:val="000000"/>
          <w:sz w:val="24"/>
          <w:szCs w:val="24"/>
          <w:vertAlign w:val="subscript"/>
        </w:rPr>
        <w:t>g</w:t>
      </w:r>
      <w:proofErr w:type="spellEnd"/>
      <w:r w:rsidRPr="00973E4C">
        <w:rPr>
          <w:color w:val="000000"/>
          <w:sz w:val="24"/>
          <w:szCs w:val="24"/>
        </w:rPr>
        <w:t>=0,5</w:t>
      </w:r>
      <w:r w:rsidRPr="00973E4C">
        <w:rPr>
          <w:rFonts w:eastAsia="Calibri"/>
          <w:color w:val="000000"/>
          <w:sz w:val="24"/>
          <w:szCs w:val="24"/>
        </w:rPr>
        <w:t xml:space="preserve"> Wm</w:t>
      </w:r>
      <w:r w:rsidRPr="00973E4C">
        <w:rPr>
          <w:rFonts w:eastAsia="Calibri"/>
          <w:color w:val="000000"/>
          <w:sz w:val="24"/>
          <w:szCs w:val="24"/>
          <w:vertAlign w:val="superscript"/>
        </w:rPr>
        <w:t>2</w:t>
      </w:r>
      <w:r w:rsidRPr="00973E4C">
        <w:rPr>
          <w:rFonts w:eastAsia="Calibri"/>
          <w:color w:val="000000"/>
          <w:sz w:val="24"/>
          <w:szCs w:val="24"/>
        </w:rPr>
        <w:t>K</w:t>
      </w:r>
      <w:r w:rsidRPr="00973E4C">
        <w:rPr>
          <w:color w:val="000000"/>
          <w:sz w:val="24"/>
          <w:szCs w:val="24"/>
        </w:rPr>
        <w:t xml:space="preserve">. Celkový součin prostupu celého okna </w:t>
      </w:r>
      <w:proofErr w:type="spellStart"/>
      <w:r w:rsidRPr="00973E4C">
        <w:rPr>
          <w:color w:val="000000"/>
          <w:sz w:val="24"/>
          <w:szCs w:val="24"/>
        </w:rPr>
        <w:t>U</w:t>
      </w:r>
      <w:r w:rsidRPr="00973E4C">
        <w:rPr>
          <w:color w:val="000000"/>
          <w:sz w:val="24"/>
          <w:szCs w:val="24"/>
          <w:vertAlign w:val="subscript"/>
        </w:rPr>
        <w:t>w</w:t>
      </w:r>
      <w:proofErr w:type="spellEnd"/>
      <w:r w:rsidRPr="00973E4C">
        <w:rPr>
          <w:color w:val="000000"/>
          <w:sz w:val="24"/>
          <w:szCs w:val="24"/>
        </w:rPr>
        <w:t xml:space="preserve">=0,85 </w:t>
      </w:r>
      <w:r w:rsidRPr="00973E4C">
        <w:rPr>
          <w:rFonts w:eastAsia="Calibri"/>
          <w:color w:val="000000"/>
          <w:sz w:val="24"/>
          <w:szCs w:val="24"/>
        </w:rPr>
        <w:t>Wm</w:t>
      </w:r>
      <w:r w:rsidRPr="00973E4C">
        <w:rPr>
          <w:rFonts w:eastAsia="Calibri"/>
          <w:color w:val="000000"/>
          <w:sz w:val="24"/>
          <w:szCs w:val="24"/>
          <w:vertAlign w:val="superscript"/>
        </w:rPr>
        <w:t>2</w:t>
      </w:r>
      <w:r w:rsidRPr="00973E4C">
        <w:rPr>
          <w:rFonts w:eastAsia="Calibri"/>
          <w:color w:val="000000"/>
          <w:sz w:val="24"/>
          <w:szCs w:val="24"/>
        </w:rPr>
        <w:t>K.</w:t>
      </w:r>
    </w:p>
    <w:p w:rsidR="00B26C3D" w:rsidRPr="00973E4C" w:rsidRDefault="00B26C3D" w:rsidP="00B26C3D">
      <w:pPr>
        <w:numPr>
          <w:ilvl w:val="0"/>
          <w:numId w:val="30"/>
        </w:numPr>
        <w:autoSpaceDE w:val="0"/>
        <w:autoSpaceDN w:val="0"/>
        <w:adjustRightInd w:val="0"/>
        <w:jc w:val="both"/>
        <w:rPr>
          <w:color w:val="000000"/>
          <w:sz w:val="24"/>
          <w:szCs w:val="24"/>
        </w:rPr>
      </w:pPr>
      <w:r w:rsidRPr="00973E4C">
        <w:rPr>
          <w:rFonts w:eastAsia="Calibri"/>
          <w:color w:val="000000"/>
          <w:sz w:val="24"/>
          <w:szCs w:val="24"/>
        </w:rPr>
        <w:lastRenderedPageBreak/>
        <w:t>Hliníkové vstupní sestavy max. U</w:t>
      </w:r>
      <w:r w:rsidRPr="00973E4C">
        <w:rPr>
          <w:rFonts w:eastAsia="Calibri"/>
          <w:color w:val="000000"/>
          <w:sz w:val="24"/>
          <w:szCs w:val="24"/>
          <w:vertAlign w:val="subscript"/>
        </w:rPr>
        <w:t>D</w:t>
      </w:r>
      <w:r w:rsidRPr="00973E4C">
        <w:rPr>
          <w:rFonts w:eastAsia="Calibri"/>
          <w:color w:val="000000"/>
          <w:sz w:val="24"/>
          <w:szCs w:val="24"/>
        </w:rPr>
        <w:t>=1,5W/m</w:t>
      </w:r>
      <w:r w:rsidRPr="00973E4C">
        <w:rPr>
          <w:rFonts w:eastAsia="Calibri"/>
          <w:color w:val="000000"/>
          <w:sz w:val="24"/>
          <w:szCs w:val="24"/>
          <w:vertAlign w:val="superscript"/>
        </w:rPr>
        <w:t>2</w:t>
      </w:r>
      <w:r w:rsidRPr="00973E4C">
        <w:rPr>
          <w:rFonts w:eastAsia="Calibri"/>
          <w:color w:val="000000"/>
          <w:sz w:val="24"/>
          <w:szCs w:val="24"/>
        </w:rPr>
        <w:t xml:space="preserve">K, v rámu osazené </w:t>
      </w:r>
      <w:proofErr w:type="gramStart"/>
      <w:r w:rsidRPr="00973E4C">
        <w:rPr>
          <w:rFonts w:eastAsia="Calibri"/>
          <w:color w:val="000000"/>
          <w:sz w:val="24"/>
          <w:szCs w:val="24"/>
        </w:rPr>
        <w:t>čiré 2-sklo</w:t>
      </w:r>
      <w:proofErr w:type="gramEnd"/>
      <w:r w:rsidRPr="00973E4C">
        <w:rPr>
          <w:rFonts w:eastAsia="Calibri"/>
          <w:color w:val="000000"/>
          <w:sz w:val="24"/>
          <w:szCs w:val="24"/>
        </w:rPr>
        <w:t xml:space="preserve"> </w:t>
      </w:r>
      <w:proofErr w:type="spellStart"/>
      <w:r w:rsidRPr="00973E4C">
        <w:rPr>
          <w:rFonts w:eastAsia="Calibri"/>
          <w:color w:val="000000"/>
          <w:sz w:val="24"/>
          <w:szCs w:val="24"/>
        </w:rPr>
        <w:t>U</w:t>
      </w:r>
      <w:r w:rsidRPr="00973E4C">
        <w:rPr>
          <w:rFonts w:eastAsia="Calibri"/>
          <w:color w:val="000000"/>
          <w:sz w:val="24"/>
          <w:szCs w:val="24"/>
          <w:vertAlign w:val="subscript"/>
        </w:rPr>
        <w:t>g</w:t>
      </w:r>
      <w:proofErr w:type="spellEnd"/>
      <w:r w:rsidRPr="00973E4C">
        <w:rPr>
          <w:rFonts w:eastAsia="Calibri"/>
          <w:color w:val="000000"/>
          <w:sz w:val="24"/>
          <w:szCs w:val="24"/>
        </w:rPr>
        <w:t>=1,1 W/m</w:t>
      </w:r>
      <w:r w:rsidRPr="00973E4C">
        <w:rPr>
          <w:rFonts w:eastAsia="Calibri"/>
          <w:color w:val="000000"/>
          <w:sz w:val="24"/>
          <w:szCs w:val="24"/>
          <w:vertAlign w:val="superscript"/>
        </w:rPr>
        <w:t>2</w:t>
      </w:r>
      <w:r w:rsidRPr="00973E4C">
        <w:rPr>
          <w:rFonts w:eastAsia="Calibri"/>
          <w:color w:val="000000"/>
          <w:sz w:val="24"/>
          <w:szCs w:val="24"/>
        </w:rPr>
        <w:t>K, stavební hloubka AL rámu min. 70 mm</w:t>
      </w:r>
    </w:p>
    <w:p w:rsidR="00B26C3D" w:rsidRPr="00973E4C" w:rsidRDefault="00B26C3D" w:rsidP="00B26C3D">
      <w:pPr>
        <w:numPr>
          <w:ilvl w:val="0"/>
          <w:numId w:val="30"/>
        </w:numPr>
        <w:autoSpaceDE w:val="0"/>
        <w:autoSpaceDN w:val="0"/>
        <w:adjustRightInd w:val="0"/>
        <w:jc w:val="both"/>
        <w:rPr>
          <w:color w:val="000000"/>
          <w:sz w:val="24"/>
          <w:szCs w:val="24"/>
        </w:rPr>
      </w:pPr>
      <w:r w:rsidRPr="00973E4C">
        <w:rPr>
          <w:rFonts w:eastAsia="Calibri"/>
          <w:color w:val="000000"/>
          <w:sz w:val="24"/>
          <w:szCs w:val="24"/>
        </w:rPr>
        <w:t xml:space="preserve">Plastové interiérové sestavy budou </w:t>
      </w:r>
      <w:proofErr w:type="spellStart"/>
      <w:r w:rsidRPr="00973E4C">
        <w:rPr>
          <w:rFonts w:eastAsia="Calibri"/>
          <w:color w:val="000000"/>
          <w:sz w:val="24"/>
          <w:szCs w:val="24"/>
        </w:rPr>
        <w:t>U</w:t>
      </w:r>
      <w:r w:rsidRPr="00973E4C">
        <w:rPr>
          <w:rFonts w:eastAsia="Calibri"/>
          <w:color w:val="000000"/>
          <w:sz w:val="24"/>
          <w:szCs w:val="24"/>
          <w:vertAlign w:val="subscript"/>
        </w:rPr>
        <w:t>w</w:t>
      </w:r>
      <w:proofErr w:type="spellEnd"/>
      <w:r w:rsidRPr="00973E4C">
        <w:rPr>
          <w:rFonts w:eastAsia="Calibri"/>
          <w:color w:val="000000"/>
          <w:sz w:val="24"/>
          <w:szCs w:val="24"/>
        </w:rPr>
        <w:t>=1,1Wm</w:t>
      </w:r>
      <w:r w:rsidRPr="00973E4C">
        <w:rPr>
          <w:rFonts w:eastAsia="Calibri"/>
          <w:color w:val="000000"/>
          <w:sz w:val="24"/>
          <w:szCs w:val="24"/>
          <w:vertAlign w:val="superscript"/>
        </w:rPr>
        <w:t>2</w:t>
      </w:r>
      <w:r w:rsidRPr="00973E4C">
        <w:rPr>
          <w:rFonts w:eastAsia="Calibri"/>
          <w:color w:val="000000"/>
          <w:sz w:val="24"/>
          <w:szCs w:val="24"/>
        </w:rPr>
        <w:t xml:space="preserve">K, stavební hloubka min. 80 mm. </w:t>
      </w:r>
    </w:p>
    <w:p w:rsidR="00B26C3D" w:rsidRPr="00973E4C" w:rsidRDefault="00B26C3D" w:rsidP="00B26C3D">
      <w:pPr>
        <w:numPr>
          <w:ilvl w:val="0"/>
          <w:numId w:val="30"/>
        </w:numPr>
        <w:autoSpaceDE w:val="0"/>
        <w:autoSpaceDN w:val="0"/>
        <w:adjustRightInd w:val="0"/>
        <w:jc w:val="both"/>
        <w:rPr>
          <w:color w:val="000000"/>
          <w:sz w:val="24"/>
          <w:szCs w:val="24"/>
        </w:rPr>
      </w:pPr>
      <w:r w:rsidRPr="00973E4C">
        <w:rPr>
          <w:rFonts w:eastAsia="Calibri"/>
          <w:color w:val="000000"/>
          <w:sz w:val="24"/>
          <w:szCs w:val="24"/>
        </w:rPr>
        <w:t>Sklepní plastová okna bílá/bílá, stavební hloubka min. 80 mm.</w:t>
      </w:r>
      <w:r w:rsidRPr="00973E4C">
        <w:rPr>
          <w:color w:val="000000"/>
          <w:sz w:val="24"/>
          <w:szCs w:val="24"/>
        </w:rPr>
        <w:t xml:space="preserve"> Celkový součin prostupu celého okna </w:t>
      </w:r>
      <w:proofErr w:type="spellStart"/>
      <w:r w:rsidRPr="00973E4C">
        <w:rPr>
          <w:color w:val="000000"/>
          <w:sz w:val="24"/>
          <w:szCs w:val="24"/>
        </w:rPr>
        <w:t>U</w:t>
      </w:r>
      <w:r w:rsidRPr="00973E4C">
        <w:rPr>
          <w:color w:val="000000"/>
          <w:sz w:val="24"/>
          <w:szCs w:val="24"/>
          <w:vertAlign w:val="subscript"/>
        </w:rPr>
        <w:t>w</w:t>
      </w:r>
      <w:proofErr w:type="spellEnd"/>
      <w:r w:rsidRPr="00973E4C">
        <w:rPr>
          <w:color w:val="000000"/>
          <w:sz w:val="24"/>
          <w:szCs w:val="24"/>
        </w:rPr>
        <w:t xml:space="preserve">=1,2 </w:t>
      </w:r>
      <w:r w:rsidRPr="00973E4C">
        <w:rPr>
          <w:rFonts w:eastAsia="Calibri"/>
          <w:color w:val="000000"/>
          <w:sz w:val="24"/>
          <w:szCs w:val="24"/>
        </w:rPr>
        <w:t>Wm</w:t>
      </w:r>
      <w:r w:rsidRPr="00973E4C">
        <w:rPr>
          <w:rFonts w:eastAsia="Calibri"/>
          <w:color w:val="000000"/>
          <w:sz w:val="24"/>
          <w:szCs w:val="24"/>
          <w:vertAlign w:val="superscript"/>
        </w:rPr>
        <w:t>2</w:t>
      </w:r>
      <w:r w:rsidRPr="00973E4C">
        <w:rPr>
          <w:rFonts w:eastAsia="Calibri"/>
          <w:color w:val="000000"/>
          <w:sz w:val="24"/>
          <w:szCs w:val="24"/>
        </w:rPr>
        <w:t>K</w:t>
      </w:r>
      <w:r w:rsidRPr="00973E4C">
        <w:rPr>
          <w:color w:val="000000"/>
          <w:sz w:val="24"/>
          <w:szCs w:val="24"/>
        </w:rPr>
        <w:t xml:space="preserve">. </w:t>
      </w:r>
    </w:p>
    <w:p w:rsidR="00B26C3D" w:rsidRPr="00973E4C" w:rsidRDefault="00B26C3D" w:rsidP="00B26C3D">
      <w:pPr>
        <w:numPr>
          <w:ilvl w:val="0"/>
          <w:numId w:val="30"/>
        </w:numPr>
        <w:autoSpaceDE w:val="0"/>
        <w:autoSpaceDN w:val="0"/>
        <w:adjustRightInd w:val="0"/>
        <w:jc w:val="both"/>
        <w:rPr>
          <w:color w:val="000000"/>
          <w:sz w:val="24"/>
          <w:szCs w:val="24"/>
        </w:rPr>
      </w:pPr>
      <w:r w:rsidRPr="00973E4C">
        <w:rPr>
          <w:color w:val="000000"/>
          <w:sz w:val="24"/>
          <w:szCs w:val="24"/>
        </w:rPr>
        <w:t xml:space="preserve">Sklepní dveře bílá/bílá, </w:t>
      </w:r>
      <w:proofErr w:type="spellStart"/>
      <w:r w:rsidRPr="00973E4C">
        <w:rPr>
          <w:color w:val="000000"/>
          <w:sz w:val="24"/>
          <w:szCs w:val="24"/>
        </w:rPr>
        <w:t>U</w:t>
      </w:r>
      <w:r w:rsidRPr="00973E4C">
        <w:rPr>
          <w:color w:val="000000"/>
          <w:sz w:val="24"/>
          <w:szCs w:val="24"/>
          <w:vertAlign w:val="subscript"/>
        </w:rPr>
        <w:t>w</w:t>
      </w:r>
      <w:proofErr w:type="spellEnd"/>
      <w:r w:rsidRPr="00973E4C">
        <w:rPr>
          <w:color w:val="000000"/>
          <w:sz w:val="24"/>
          <w:szCs w:val="24"/>
        </w:rPr>
        <w:t xml:space="preserve">=1,2 </w:t>
      </w:r>
      <w:r w:rsidRPr="00973E4C">
        <w:rPr>
          <w:rFonts w:eastAsia="Calibri"/>
          <w:color w:val="000000"/>
          <w:sz w:val="24"/>
          <w:szCs w:val="24"/>
        </w:rPr>
        <w:t>Wm</w:t>
      </w:r>
      <w:r w:rsidRPr="00973E4C">
        <w:rPr>
          <w:rFonts w:eastAsia="Calibri"/>
          <w:color w:val="000000"/>
          <w:sz w:val="24"/>
          <w:szCs w:val="24"/>
          <w:vertAlign w:val="superscript"/>
        </w:rPr>
        <w:t>2</w:t>
      </w:r>
      <w:r w:rsidRPr="00973E4C">
        <w:rPr>
          <w:rFonts w:eastAsia="Calibri"/>
          <w:color w:val="000000"/>
          <w:sz w:val="24"/>
          <w:szCs w:val="24"/>
        </w:rPr>
        <w:t xml:space="preserve">K. </w:t>
      </w:r>
    </w:p>
    <w:p w:rsidR="00B26C3D" w:rsidRPr="00973E4C" w:rsidRDefault="00B26C3D" w:rsidP="00B26C3D">
      <w:pPr>
        <w:autoSpaceDE w:val="0"/>
        <w:autoSpaceDN w:val="0"/>
        <w:adjustRightInd w:val="0"/>
        <w:jc w:val="both"/>
        <w:rPr>
          <w:rFonts w:eastAsia="Calibri"/>
          <w:color w:val="000000"/>
          <w:sz w:val="24"/>
          <w:szCs w:val="24"/>
        </w:rPr>
      </w:pPr>
    </w:p>
    <w:p w:rsidR="00B26C3D" w:rsidRPr="00973E4C" w:rsidRDefault="00B26C3D" w:rsidP="00B26C3D">
      <w:pPr>
        <w:autoSpaceDE w:val="0"/>
        <w:autoSpaceDN w:val="0"/>
        <w:adjustRightInd w:val="0"/>
        <w:jc w:val="both"/>
        <w:rPr>
          <w:b/>
          <w:color w:val="000000"/>
          <w:sz w:val="24"/>
          <w:szCs w:val="24"/>
        </w:rPr>
      </w:pPr>
      <w:r w:rsidRPr="00973E4C">
        <w:rPr>
          <w:rFonts w:eastAsia="Calibri"/>
          <w:b/>
          <w:color w:val="000000"/>
          <w:sz w:val="24"/>
          <w:szCs w:val="24"/>
        </w:rPr>
        <w:t>Požadovaný profil dodaných okenních a dveřních prvků musí splňovat podmínku do budoucna použití izolačního trojskla minimální tloušťky 52 mm.</w:t>
      </w:r>
    </w:p>
    <w:p w:rsidR="00B26C3D" w:rsidRPr="00973E4C" w:rsidRDefault="00B26C3D" w:rsidP="00B26C3D">
      <w:pPr>
        <w:jc w:val="both"/>
        <w:rPr>
          <w:bCs/>
          <w:iCs/>
          <w:color w:val="000000"/>
          <w:sz w:val="24"/>
          <w:szCs w:val="24"/>
        </w:rPr>
      </w:pPr>
    </w:p>
    <w:p w:rsidR="00B26C3D" w:rsidRPr="00973E4C" w:rsidRDefault="00B26C3D" w:rsidP="00B26C3D">
      <w:pPr>
        <w:jc w:val="both"/>
        <w:rPr>
          <w:bCs/>
          <w:iCs/>
          <w:color w:val="000000"/>
          <w:sz w:val="24"/>
          <w:szCs w:val="24"/>
        </w:rPr>
      </w:pPr>
    </w:p>
    <w:p w:rsidR="00B26C3D" w:rsidRPr="00973E4C" w:rsidRDefault="00B26C3D" w:rsidP="00B26C3D">
      <w:pPr>
        <w:autoSpaceDE w:val="0"/>
        <w:autoSpaceDN w:val="0"/>
        <w:adjustRightInd w:val="0"/>
        <w:jc w:val="both"/>
        <w:rPr>
          <w:color w:val="000000"/>
          <w:sz w:val="24"/>
          <w:szCs w:val="24"/>
        </w:rPr>
      </w:pPr>
      <w:r w:rsidRPr="00973E4C">
        <w:rPr>
          <w:bCs/>
          <w:iCs/>
          <w:color w:val="000000"/>
          <w:sz w:val="24"/>
          <w:szCs w:val="24"/>
        </w:rPr>
        <w:t xml:space="preserve">Realizace spočívá ve výměně stávajících </w:t>
      </w:r>
      <w:r w:rsidRPr="00973E4C">
        <w:rPr>
          <w:color w:val="000000"/>
          <w:sz w:val="24"/>
          <w:szCs w:val="24"/>
        </w:rPr>
        <w:t xml:space="preserve">oken a dveří v budově za plastová a hliníková okna a dveře z důvodu opotřebení dřevěných okenních rámů. </w:t>
      </w:r>
    </w:p>
    <w:p w:rsidR="00B26C3D" w:rsidRPr="00973E4C" w:rsidRDefault="00B26C3D" w:rsidP="00B26C3D">
      <w:pPr>
        <w:numPr>
          <w:ilvl w:val="0"/>
          <w:numId w:val="24"/>
        </w:numPr>
        <w:autoSpaceDE w:val="0"/>
        <w:autoSpaceDN w:val="0"/>
        <w:adjustRightInd w:val="0"/>
        <w:jc w:val="both"/>
        <w:rPr>
          <w:b/>
          <w:color w:val="000000"/>
          <w:sz w:val="24"/>
          <w:szCs w:val="24"/>
        </w:rPr>
      </w:pPr>
      <w:r w:rsidRPr="00973E4C">
        <w:rPr>
          <w:b/>
          <w:color w:val="000000"/>
          <w:sz w:val="24"/>
          <w:szCs w:val="24"/>
        </w:rPr>
        <w:t xml:space="preserve">Okna, dveře, sklepní okna a atypické prvky budou vyhotoveny a dodány v rozsahu a členění </w:t>
      </w:r>
      <w:proofErr w:type="gramStart"/>
      <w:r w:rsidRPr="00973E4C">
        <w:rPr>
          <w:b/>
          <w:color w:val="000000"/>
          <w:sz w:val="24"/>
          <w:szCs w:val="24"/>
        </w:rPr>
        <w:t>viz. příloha</w:t>
      </w:r>
      <w:proofErr w:type="gramEnd"/>
      <w:r w:rsidRPr="00973E4C">
        <w:rPr>
          <w:b/>
          <w:color w:val="000000"/>
          <w:sz w:val="24"/>
          <w:szCs w:val="24"/>
        </w:rPr>
        <w:t xml:space="preserve"> /položkový rozpočet/ a příloha /soupis oken/.</w:t>
      </w:r>
    </w:p>
    <w:p w:rsidR="00B26C3D" w:rsidRPr="00973E4C" w:rsidRDefault="00B26C3D" w:rsidP="00B26C3D">
      <w:pPr>
        <w:numPr>
          <w:ilvl w:val="0"/>
          <w:numId w:val="24"/>
        </w:numPr>
        <w:autoSpaceDE w:val="0"/>
        <w:autoSpaceDN w:val="0"/>
        <w:adjustRightInd w:val="0"/>
        <w:jc w:val="both"/>
        <w:rPr>
          <w:b/>
          <w:color w:val="000000"/>
          <w:sz w:val="24"/>
          <w:szCs w:val="24"/>
        </w:rPr>
      </w:pPr>
      <w:r w:rsidRPr="00973E4C">
        <w:rPr>
          <w:color w:val="000000"/>
          <w:sz w:val="24"/>
          <w:szCs w:val="24"/>
        </w:rPr>
        <w:t>Montáž, kotvení a osazení oken a dveří musí splňovat požadavky ČSN 746077.</w:t>
      </w:r>
    </w:p>
    <w:p w:rsidR="00B26C3D" w:rsidRPr="00973E4C" w:rsidRDefault="00B26C3D" w:rsidP="00B26C3D">
      <w:pPr>
        <w:numPr>
          <w:ilvl w:val="0"/>
          <w:numId w:val="24"/>
        </w:numPr>
        <w:autoSpaceDE w:val="0"/>
        <w:autoSpaceDN w:val="0"/>
        <w:adjustRightInd w:val="0"/>
        <w:jc w:val="both"/>
        <w:rPr>
          <w:b/>
          <w:color w:val="000000"/>
          <w:sz w:val="24"/>
          <w:szCs w:val="24"/>
        </w:rPr>
      </w:pPr>
      <w:r w:rsidRPr="00973E4C">
        <w:rPr>
          <w:color w:val="000000"/>
          <w:sz w:val="24"/>
          <w:szCs w:val="24"/>
        </w:rPr>
        <w:t xml:space="preserve">Před zahájení montáže předá zhotovitel k odsouhlasení investorovi kotevní plány jednotlivých sestav.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K uzavření spáry mezi rámem okna a ostěním bude ze strany interiéru použita parotěsná a ze strany exteriéru </w:t>
      </w:r>
      <w:proofErr w:type="spellStart"/>
      <w:r w:rsidRPr="00973E4C">
        <w:rPr>
          <w:color w:val="000000"/>
          <w:sz w:val="24"/>
          <w:szCs w:val="24"/>
        </w:rPr>
        <w:t>paropropustná</w:t>
      </w:r>
      <w:proofErr w:type="spellEnd"/>
      <w:r w:rsidRPr="00973E4C">
        <w:rPr>
          <w:color w:val="000000"/>
          <w:sz w:val="24"/>
          <w:szCs w:val="24"/>
        </w:rPr>
        <w:t xml:space="preserve"> páska odpovídající šíři spáry. Páska bude překryta odpovídající omítkou.</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Montážní PU pěna bude uzavřena mezi páskami.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Všechna okna a balkónové dveře budou osazeny vnitřními žaluziemi barvy stříbrné.</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Kování oken a dveří celoobvodové, kliky oken a dveří budou barvy bílé.</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Dveře vchodových sestav /vnější i vnitřní/ budou opatřeny dveřními </w:t>
      </w:r>
      <w:proofErr w:type="spellStart"/>
      <w:r w:rsidRPr="00973E4C">
        <w:rPr>
          <w:color w:val="000000"/>
          <w:sz w:val="24"/>
          <w:szCs w:val="24"/>
        </w:rPr>
        <w:t>samozavírači</w:t>
      </w:r>
      <w:proofErr w:type="spellEnd"/>
      <w:r w:rsidRPr="00973E4C">
        <w:rPr>
          <w:color w:val="000000"/>
          <w:sz w:val="24"/>
          <w:szCs w:val="24"/>
        </w:rPr>
        <w:t xml:space="preserve"> a stavěči křídel dveří.</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Barva bílá, zachovat tvar a členění oken, dveří, sklepních oken a atypických okenních prosklených sestav.</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Parapety vnitřní budou zaměněny za plastové, barva bílá.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Parapety vnější jsou ocelové, které budou zaměněny za eloxovaný AL plech, barva bílá.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Bourací a stavební práce se provedou vždy z místnosti příslušného okna. V případě nutnosti se upraví ostění tak aby okno bylo vsazeno do otvoru a po obvodu okna zůstala 1 cm mezera na montážní pěnu.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Vyzrálá montážní pěna bude zařezána tak, aby nevyčnívala z rámu,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Zapravení maltou ostění a podhled vnitřní i vnější, tak aby byla zachovaná struktura venkovní omítky, barevný odstín a nebyla vidět montážní pěna.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Úprava betonového lože pod nový vnitřní parapet.</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Na podbetonovaný parapet se přilepí vnitřní plastový parapet, barvy bílé, po vytvrdnutí lepidla se zapraví maltou drobné nedostatky.</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Parapety venkovní bude eloxovaný AL plech, barvy bílé, přilepený k pokladu a lehce se zapraví maltou okolo parapetu.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Vnitřní vymalování prostoru okolo okna.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Oprava nátěru radiátorů v případě poškození.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Objednatel požaduje po dobu záruky 1x ročně seřízení a provedení údržby oken a dveří.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Dodavatel dodá objednateli při předání díla veškeré certifikáty k dodaným oknům a prvkům.</w:t>
      </w:r>
    </w:p>
    <w:p w:rsidR="00B26C3D" w:rsidRPr="00973E4C" w:rsidRDefault="00B26C3D" w:rsidP="00B26C3D">
      <w:pPr>
        <w:ind w:firstLine="708"/>
        <w:jc w:val="both"/>
        <w:rPr>
          <w:bCs/>
          <w:iCs/>
          <w:color w:val="000000"/>
          <w:sz w:val="24"/>
          <w:szCs w:val="24"/>
        </w:rPr>
      </w:pPr>
    </w:p>
    <w:p w:rsidR="00B26C3D" w:rsidRPr="00973E4C" w:rsidRDefault="00B26C3D" w:rsidP="00B26C3D">
      <w:pPr>
        <w:pStyle w:val="Zkladntext3"/>
        <w:jc w:val="both"/>
        <w:rPr>
          <w:b/>
          <w:color w:val="000000"/>
          <w:szCs w:val="24"/>
        </w:rPr>
      </w:pPr>
      <w:r w:rsidRPr="00973E4C">
        <w:rPr>
          <w:b/>
          <w:bCs/>
          <w:color w:val="000000"/>
          <w:szCs w:val="24"/>
        </w:rPr>
        <w:t xml:space="preserve">Práce budou provedeny výměnou kus za kus, bude zachován rozměr a uliční vzhled okenních sestav, </w:t>
      </w:r>
      <w:r w:rsidRPr="00973E4C">
        <w:rPr>
          <w:b/>
          <w:color w:val="000000"/>
          <w:szCs w:val="24"/>
        </w:rPr>
        <w:t xml:space="preserve">tj. veškeré stavební práce, dodávky a montáže, demontáže, služby a </w:t>
      </w:r>
      <w:r w:rsidRPr="00973E4C">
        <w:rPr>
          <w:b/>
          <w:color w:val="000000"/>
          <w:szCs w:val="24"/>
        </w:rPr>
        <w:lastRenderedPageBreak/>
        <w:t xml:space="preserve">předání veškerých částí stavby, toto vše včetně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 </w:t>
      </w:r>
    </w:p>
    <w:p w:rsidR="00B26C3D" w:rsidRPr="00973E4C" w:rsidRDefault="00B26C3D" w:rsidP="00B26C3D">
      <w:pPr>
        <w:pStyle w:val="Zkladntext3"/>
        <w:jc w:val="both"/>
        <w:rPr>
          <w:b/>
          <w:color w:val="000000"/>
          <w:szCs w:val="24"/>
        </w:rPr>
      </w:pPr>
    </w:p>
    <w:p w:rsidR="00B26C3D" w:rsidRPr="00973E4C" w:rsidRDefault="00B26C3D" w:rsidP="00B26C3D">
      <w:pPr>
        <w:pStyle w:val="Zkladntext3"/>
        <w:jc w:val="both"/>
        <w:rPr>
          <w:b/>
          <w:color w:val="000000"/>
          <w:szCs w:val="24"/>
        </w:rPr>
      </w:pPr>
      <w:r w:rsidRPr="00973E4C">
        <w:rPr>
          <w:b/>
          <w:color w:val="000000"/>
          <w:szCs w:val="24"/>
        </w:rPr>
        <w:t>Budova je součástí vojenského areálu, výměna bude probíhat za provozu. Všichni pracovníci realizace díla musí být příslušníky států EU nebo NATO – realizace probíhá ve vojenském areálu.</w:t>
      </w:r>
    </w:p>
    <w:p w:rsidR="00B26C3D" w:rsidRPr="00973E4C" w:rsidRDefault="00B26C3D" w:rsidP="00B26C3D">
      <w:pPr>
        <w:pStyle w:val="Zkladntext3"/>
        <w:jc w:val="both"/>
        <w:rPr>
          <w:color w:val="000000"/>
          <w:szCs w:val="24"/>
        </w:rPr>
      </w:pPr>
    </w:p>
    <w:p w:rsidR="00B26C3D" w:rsidRPr="00973E4C" w:rsidRDefault="00B26C3D" w:rsidP="00B26C3D">
      <w:pPr>
        <w:pStyle w:val="Zkladntext3"/>
        <w:jc w:val="both"/>
        <w:rPr>
          <w:color w:val="000000"/>
          <w:szCs w:val="24"/>
        </w:rPr>
      </w:pPr>
      <w:r w:rsidRPr="00973E4C">
        <w:rPr>
          <w:color w:val="000000"/>
          <w:szCs w:val="24"/>
        </w:rPr>
        <w:t xml:space="preserve">Součástí plnění </w:t>
      </w:r>
      <w:r>
        <w:rPr>
          <w:color w:val="000000"/>
          <w:szCs w:val="24"/>
        </w:rPr>
        <w:t>předmětu smlouvy</w:t>
      </w:r>
      <w:r w:rsidRPr="00973E4C">
        <w:rPr>
          <w:color w:val="000000"/>
          <w:szCs w:val="24"/>
        </w:rPr>
        <w:t xml:space="preserve"> je průběžný a závěrečný úklid, odvoz a ekologická likvidace demontovaného materiálu včetně uložení na skládku, doklad o likvidaci odpadu. </w:t>
      </w:r>
    </w:p>
    <w:p w:rsidR="00B26C3D" w:rsidRPr="00973E4C" w:rsidRDefault="00B26C3D" w:rsidP="00B26C3D">
      <w:pPr>
        <w:jc w:val="both"/>
        <w:rPr>
          <w:color w:val="000000"/>
          <w:sz w:val="24"/>
          <w:szCs w:val="24"/>
        </w:rPr>
      </w:pPr>
    </w:p>
    <w:p w:rsidR="00B26C3D" w:rsidRPr="00973E4C" w:rsidRDefault="00B26C3D" w:rsidP="00B26C3D">
      <w:pPr>
        <w:jc w:val="both"/>
        <w:rPr>
          <w:sz w:val="24"/>
          <w:szCs w:val="24"/>
        </w:rPr>
      </w:pPr>
      <w:r w:rsidRPr="00973E4C">
        <w:rPr>
          <w:color w:val="000000"/>
          <w:sz w:val="24"/>
          <w:szCs w:val="24"/>
        </w:rPr>
        <w:t>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materiálu.</w:t>
      </w:r>
    </w:p>
    <w:p w:rsidR="00B26C3D" w:rsidRPr="00A463FF" w:rsidRDefault="00B26C3D" w:rsidP="00B26C3D">
      <w:pPr>
        <w:jc w:val="both"/>
        <w:rPr>
          <w:sz w:val="24"/>
          <w:szCs w:val="24"/>
        </w:rPr>
      </w:pPr>
    </w:p>
    <w:p w:rsidR="00AB4691" w:rsidRDefault="00AB4691" w:rsidP="0077767A">
      <w:pPr>
        <w:pStyle w:val="Zkladntext"/>
        <w:spacing w:before="0"/>
        <w:jc w:val="both"/>
      </w:pPr>
    </w:p>
    <w:p w:rsidR="00AE2642" w:rsidRDefault="00F866AD" w:rsidP="00A54045">
      <w:pPr>
        <w:shd w:val="clear" w:color="00FFFF" w:fill="auto"/>
        <w:spacing w:beforeLines="20" w:before="48"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43692D" w:rsidRPr="00B26C3D" w:rsidRDefault="0043692D" w:rsidP="0043692D">
      <w:pPr>
        <w:spacing w:after="240"/>
        <w:rPr>
          <w:color w:val="FF0000"/>
          <w:sz w:val="24"/>
        </w:rPr>
      </w:pPr>
      <w:r w:rsidRPr="00B26C3D">
        <w:rPr>
          <w:color w:val="FF0000"/>
          <w:sz w:val="24"/>
        </w:rPr>
        <w:t xml:space="preserve">Termín zahájení plnění: </w:t>
      </w:r>
      <w:r w:rsidRPr="00B26C3D">
        <w:rPr>
          <w:color w:val="FF0000"/>
          <w:sz w:val="24"/>
        </w:rPr>
        <w:tab/>
      </w:r>
      <w:r w:rsidRPr="00B26C3D">
        <w:rPr>
          <w:color w:val="FF0000"/>
          <w:sz w:val="24"/>
        </w:rPr>
        <w:tab/>
      </w:r>
      <w:r w:rsidRPr="00B26C3D">
        <w:rPr>
          <w:color w:val="FF0000"/>
          <w:sz w:val="24"/>
        </w:rPr>
        <w:tab/>
      </w:r>
      <w:r w:rsidRPr="00B26C3D">
        <w:rPr>
          <w:color w:val="FF0000"/>
          <w:sz w:val="24"/>
        </w:rPr>
        <w:tab/>
      </w:r>
      <w:r w:rsidRPr="00B26C3D">
        <w:rPr>
          <w:color w:val="FF0000"/>
          <w:sz w:val="24"/>
        </w:rPr>
        <w:tab/>
      </w:r>
      <w:r w:rsidR="00EA6BC7" w:rsidRPr="00B26C3D">
        <w:rPr>
          <w:color w:val="FF0000"/>
          <w:sz w:val="24"/>
        </w:rPr>
        <w:tab/>
      </w:r>
      <w:r w:rsidR="00B26C3D">
        <w:rPr>
          <w:color w:val="FF0000"/>
          <w:sz w:val="24"/>
        </w:rPr>
        <w:t>ihned po podpisu smlouvy</w:t>
      </w:r>
    </w:p>
    <w:p w:rsidR="00D11675" w:rsidRPr="00B26C3D" w:rsidRDefault="00EA6BC7" w:rsidP="00EA6BC7">
      <w:pPr>
        <w:spacing w:after="240"/>
        <w:rPr>
          <w:b/>
          <w:bCs/>
          <w:color w:val="FF0000"/>
          <w:sz w:val="24"/>
          <w:szCs w:val="24"/>
        </w:rPr>
      </w:pPr>
      <w:r w:rsidRPr="00B26C3D">
        <w:rPr>
          <w:bCs/>
          <w:color w:val="FF0000"/>
          <w:sz w:val="24"/>
          <w:szCs w:val="24"/>
        </w:rPr>
        <w:t>Termín ukončení plnění včetně požádání o kolaudační souhlas:</w:t>
      </w:r>
      <w:r w:rsidR="003B3400" w:rsidRPr="00B26C3D">
        <w:rPr>
          <w:b/>
          <w:bCs/>
          <w:color w:val="FF0000"/>
          <w:sz w:val="24"/>
          <w:szCs w:val="24"/>
        </w:rPr>
        <w:t xml:space="preserve"> </w:t>
      </w:r>
      <w:r w:rsidRPr="00B26C3D">
        <w:rPr>
          <w:b/>
          <w:bCs/>
          <w:color w:val="FF0000"/>
          <w:sz w:val="24"/>
          <w:szCs w:val="24"/>
        </w:rPr>
        <w:tab/>
      </w:r>
      <w:r w:rsidR="00F52546">
        <w:rPr>
          <w:b/>
          <w:bCs/>
          <w:color w:val="FF0000"/>
          <w:sz w:val="24"/>
          <w:szCs w:val="24"/>
        </w:rPr>
        <w:t>27. 2. 2015</w:t>
      </w:r>
    </w:p>
    <w:p w:rsidR="00AB695B" w:rsidRDefault="00D11675" w:rsidP="006C301D">
      <w:pPr>
        <w:rPr>
          <w:sz w:val="24"/>
          <w:szCs w:val="24"/>
        </w:rPr>
      </w:pPr>
      <w:r w:rsidRPr="006C301D">
        <w:rPr>
          <w:sz w:val="24"/>
          <w:szCs w:val="24"/>
        </w:rPr>
        <w:t>Míst</w:t>
      </w:r>
      <w:r w:rsidR="00EA6BC7" w:rsidRPr="006C301D">
        <w:rPr>
          <w:sz w:val="24"/>
          <w:szCs w:val="24"/>
        </w:rPr>
        <w:t>o</w:t>
      </w:r>
      <w:r w:rsidRPr="006C301D">
        <w:rPr>
          <w:sz w:val="24"/>
          <w:szCs w:val="24"/>
        </w:rPr>
        <w:t xml:space="preserve"> plnění</w:t>
      </w:r>
      <w:r w:rsidR="00EA6BC7" w:rsidRPr="006C301D">
        <w:rPr>
          <w:sz w:val="24"/>
          <w:szCs w:val="24"/>
        </w:rPr>
        <w:t xml:space="preserve">: </w:t>
      </w:r>
      <w:r w:rsidR="00B26C3D">
        <w:rPr>
          <w:rFonts w:eastAsia="Calibri"/>
          <w:sz w:val="24"/>
          <w:szCs w:val="24"/>
          <w:lang w:eastAsia="en-US"/>
        </w:rPr>
        <w:t xml:space="preserve">VUZ Chodská 17 A-1, A-2, A-3, A-4, </w:t>
      </w:r>
      <w:proofErr w:type="gramStart"/>
      <w:r w:rsidR="00B26C3D">
        <w:rPr>
          <w:rFonts w:eastAsia="Calibri"/>
          <w:sz w:val="24"/>
          <w:szCs w:val="24"/>
          <w:lang w:eastAsia="en-US"/>
        </w:rPr>
        <w:t>Brno.</w:t>
      </w:r>
      <w:r w:rsidR="00A463FF">
        <w:rPr>
          <w:sz w:val="24"/>
          <w:szCs w:val="24"/>
        </w:rPr>
        <w:t>.</w:t>
      </w:r>
      <w:proofErr w:type="gramEnd"/>
    </w:p>
    <w:p w:rsidR="006C301D" w:rsidRDefault="006C301D" w:rsidP="006C301D">
      <w:pPr>
        <w:rPr>
          <w:szCs w:val="24"/>
        </w:rPr>
      </w:pPr>
    </w:p>
    <w:p w:rsidR="00AE2642" w:rsidRDefault="00F866AD" w:rsidP="00A54045">
      <w:pPr>
        <w:pStyle w:val="Nadpis4"/>
        <w:keepNext w:val="0"/>
        <w:spacing w:beforeLines="20" w:before="48"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E43562" w:rsidRPr="00756BB0" w:rsidRDefault="00E43562" w:rsidP="00E43562">
      <w:pPr>
        <w:shd w:val="clear" w:color="auto" w:fill="FFFFFF"/>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E43562">
        <w:rPr>
          <w:b/>
          <w:sz w:val="24"/>
          <w:highlight w:val="yellow"/>
        </w:rPr>
        <w:t>………………………</w:t>
      </w:r>
      <w:proofErr w:type="gramStart"/>
      <w:r w:rsidRPr="00E43562">
        <w:rPr>
          <w:b/>
          <w:sz w:val="24"/>
          <w:highlight w:val="yellow"/>
        </w:rPr>
        <w:t>….,-Kč</w:t>
      </w:r>
      <w:proofErr w:type="gramEnd"/>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EA6BC7">
      <w:pPr>
        <w:shd w:val="clear" w:color="auto" w:fill="FFFFFF"/>
        <w:tabs>
          <w:tab w:val="left" w:pos="1080"/>
          <w:tab w:val="right" w:pos="7740"/>
        </w:tabs>
        <w:jc w:val="both"/>
        <w:rPr>
          <w:sz w:val="24"/>
        </w:rPr>
      </w:pPr>
      <w:r>
        <w:rPr>
          <w:sz w:val="24"/>
          <w:highlight w:val="yellow"/>
        </w:rPr>
        <w:t>slovy:</w:t>
      </w:r>
      <w:r>
        <w:rPr>
          <w:sz w:val="24"/>
          <w:highlight w:val="yellow"/>
        </w:rPr>
        <w:tab/>
        <w:t>„…………………</w:t>
      </w:r>
      <w:r w:rsidRPr="00B77993">
        <w:rPr>
          <w:sz w:val="24"/>
          <w:highlight w:val="yellow"/>
        </w:rPr>
        <w:t>……………………………………</w:t>
      </w:r>
      <w:proofErr w:type="gramStart"/>
      <w:r w:rsidRPr="00B77993">
        <w:rPr>
          <w:sz w:val="24"/>
          <w:highlight w:val="yellow"/>
        </w:rPr>
        <w:t>…..</w:t>
      </w:r>
      <w:proofErr w:type="spellStart"/>
      <w:r w:rsidRPr="00B77993">
        <w:rPr>
          <w:sz w:val="24"/>
          <w:highlight w:val="yellow"/>
        </w:rPr>
        <w:t>korunčeských</w:t>
      </w:r>
      <w:proofErr w:type="spellEnd"/>
      <w:proofErr w:type="gramEnd"/>
      <w:r w:rsidRPr="00B77993">
        <w:rPr>
          <w:sz w:val="24"/>
          <w:highlight w:val="yellow"/>
        </w:rPr>
        <w:t>“</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rPr>
          <w:b/>
          <w:sz w:val="24"/>
          <w:szCs w:val="24"/>
        </w:rPr>
      </w:pPr>
      <w:r w:rsidRPr="00756BB0">
        <w:rPr>
          <w:b/>
          <w:sz w:val="24"/>
          <w:szCs w:val="24"/>
        </w:rPr>
        <w:t>DPH bude účtováno v sazbě platné ke dni uskutečnění zdanitelného plnění.</w:t>
      </w:r>
    </w:p>
    <w:p w:rsidR="00AE2642" w:rsidRDefault="00AE2642">
      <w:pPr>
        <w:spacing w:beforeLines="20" w:before="48"/>
        <w:jc w:val="both"/>
        <w:rPr>
          <w:sz w:val="24"/>
        </w:rPr>
      </w:pPr>
    </w:p>
    <w:p w:rsidR="00AE2642" w:rsidRDefault="00F866AD" w:rsidP="00A54045">
      <w:pPr>
        <w:spacing w:beforeLines="20" w:before="48" w:after="120"/>
        <w:jc w:val="center"/>
        <w:rPr>
          <w:b/>
          <w:caps/>
          <w:sz w:val="24"/>
          <w:u w:val="single"/>
        </w:rPr>
      </w:pPr>
      <w:r>
        <w:rPr>
          <w:b/>
          <w:caps/>
          <w:sz w:val="24"/>
          <w:u w:val="single"/>
        </w:rPr>
        <w:t xml:space="preserve">IV. </w:t>
      </w:r>
      <w:r w:rsidR="00946BE8">
        <w:rPr>
          <w:b/>
          <w:caps/>
          <w:sz w:val="24"/>
          <w:u w:val="single"/>
        </w:rPr>
        <w:t>OBCHODNÍ A PLATEBNÍ PODMÍNKY</w:t>
      </w:r>
    </w:p>
    <w:p w:rsidR="00AE2642" w:rsidRPr="007D4A64" w:rsidRDefault="00AE2642" w:rsidP="00B627B1">
      <w:pPr>
        <w:numPr>
          <w:ilvl w:val="0"/>
          <w:numId w:val="2"/>
        </w:numPr>
        <w:tabs>
          <w:tab w:val="left" w:pos="0"/>
        </w:tabs>
        <w:spacing w:beforeLines="20" w:before="48" w:after="120"/>
        <w:jc w:val="both"/>
        <w:rPr>
          <w:sz w:val="24"/>
        </w:rPr>
      </w:pPr>
      <w:r>
        <w:rPr>
          <w:sz w:val="24"/>
        </w:rPr>
        <w:t>Objednatel zálohy neposkytuje.</w:t>
      </w:r>
    </w:p>
    <w:p w:rsidR="00AB4691" w:rsidRPr="00ED3EF3" w:rsidRDefault="00B26C3D" w:rsidP="00B627B1">
      <w:pPr>
        <w:numPr>
          <w:ilvl w:val="0"/>
          <w:numId w:val="2"/>
        </w:numPr>
        <w:spacing w:after="120"/>
        <w:jc w:val="both"/>
        <w:rPr>
          <w:sz w:val="24"/>
          <w:szCs w:val="24"/>
        </w:rPr>
      </w:pPr>
      <w:r w:rsidRPr="00B26C3D">
        <w:rPr>
          <w:rFonts w:eastAsia="Calibri"/>
          <w:sz w:val="24"/>
          <w:szCs w:val="24"/>
        </w:rPr>
        <w:t>Fakturace bude provedena dílčími fakturami do výše 90% z ceny díla, poslední faktura ve výši 10% bude vystavena po odstranění případných vad a nedodělků</w:t>
      </w:r>
      <w:r w:rsidR="00DA7F83">
        <w:rPr>
          <w:sz w:val="24"/>
        </w:rPr>
        <w:t>.</w:t>
      </w:r>
    </w:p>
    <w:p w:rsidR="0075034C" w:rsidRDefault="0075034C" w:rsidP="00B627B1">
      <w:pPr>
        <w:numPr>
          <w:ilvl w:val="0"/>
          <w:numId w:val="2"/>
        </w:numPr>
        <w:tabs>
          <w:tab w:val="left" w:pos="0"/>
        </w:tabs>
        <w:spacing w:beforeLines="20" w:before="48" w:after="120"/>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 xml:space="preserve">y, ve znění pozdějších předpisů, včetně uvedení klasifikace CZ-CPA, a dále </w:t>
      </w:r>
      <w:r w:rsidR="008C12D8">
        <w:rPr>
          <w:bCs/>
          <w:sz w:val="24"/>
        </w:rPr>
        <w:lastRenderedPageBreak/>
        <w:t>údaje pro účely stanovení režimu přenesené daňové povinnosti v souladu s § 92a zákona.</w:t>
      </w:r>
    </w:p>
    <w:p w:rsidR="0075034C" w:rsidRDefault="0075034C" w:rsidP="00B627B1">
      <w:pPr>
        <w:numPr>
          <w:ilvl w:val="0"/>
          <w:numId w:val="2"/>
        </w:numPr>
        <w:tabs>
          <w:tab w:val="left" w:pos="0"/>
        </w:tabs>
        <w:spacing w:before="120" w:after="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Pr>
          <w:color w:val="000000"/>
          <w:sz w:val="24"/>
        </w:rPr>
        <w:t>.</w:t>
      </w:r>
    </w:p>
    <w:p w:rsidR="00AE2642" w:rsidRPr="00A463FF" w:rsidRDefault="00AE2642" w:rsidP="00B627B1">
      <w:pPr>
        <w:numPr>
          <w:ilvl w:val="0"/>
          <w:numId w:val="2"/>
        </w:numPr>
        <w:tabs>
          <w:tab w:val="left" w:pos="0"/>
        </w:tabs>
        <w:spacing w:before="120" w:after="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A463FF" w:rsidRPr="00ED3EF3" w:rsidRDefault="00F3588E" w:rsidP="00A463FF">
      <w:pPr>
        <w:tabs>
          <w:tab w:val="left" w:pos="0"/>
        </w:tabs>
        <w:spacing w:before="120" w:after="120"/>
        <w:ind w:left="851"/>
        <w:jc w:val="both"/>
        <w:rPr>
          <w:b/>
          <w:sz w:val="24"/>
        </w:rPr>
      </w:pPr>
      <w:r>
        <w:rPr>
          <w:b/>
          <w:sz w:val="24"/>
        </w:rPr>
        <w:t xml:space="preserve">  </w:t>
      </w:r>
    </w:p>
    <w:p w:rsidR="00AE2642" w:rsidRDefault="00F866AD" w:rsidP="00A54045">
      <w:pPr>
        <w:pStyle w:val="Nadpis6"/>
        <w:spacing w:beforeLines="20" w:before="48"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w:t>
      </w:r>
      <w:proofErr w:type="gramStart"/>
      <w:r w:rsidRPr="00455900">
        <w:rPr>
          <w:sz w:val="24"/>
        </w:rPr>
        <w:t>uvedeném</w:t>
      </w:r>
      <w:proofErr w:type="gramEnd"/>
      <w:r w:rsidRPr="00455900">
        <w:rPr>
          <w:sz w:val="24"/>
        </w:rPr>
        <w:t xml:space="preserve">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D5683D" w:rsidP="0075034C">
      <w:pPr>
        <w:numPr>
          <w:ilvl w:val="0"/>
          <w:numId w:val="5"/>
        </w:numPr>
        <w:tabs>
          <w:tab w:val="left" w:pos="0"/>
        </w:tabs>
        <w:spacing w:before="120"/>
        <w:jc w:val="both"/>
        <w:rPr>
          <w:b/>
          <w:sz w:val="24"/>
        </w:rPr>
      </w:pPr>
      <w:r>
        <w:rPr>
          <w:sz w:val="24"/>
        </w:rPr>
        <w:t>Objednatel je oprávněn průběžně kontrolovat provádění díla.</w:t>
      </w:r>
      <w:r w:rsidR="0075034C">
        <w:rPr>
          <w:sz w:val="24"/>
        </w:rPr>
        <w:t xml:space="preserve"> </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AB4691" w:rsidRPr="00AB4691" w:rsidRDefault="00AB4691" w:rsidP="00AB4691"/>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pPr>
        <w:numPr>
          <w:ilvl w:val="0"/>
          <w:numId w:val="6"/>
        </w:numPr>
        <w:spacing w:beforeLines="20" w:before="48"/>
        <w:jc w:val="both"/>
        <w:rPr>
          <w:sz w:val="24"/>
        </w:rPr>
      </w:pPr>
      <w:r>
        <w:rPr>
          <w:sz w:val="24"/>
        </w:rPr>
        <w:t xml:space="preserve">Záruční doba na provedené dílo je </w:t>
      </w:r>
      <w:r w:rsidR="00F52546" w:rsidRPr="00F52546">
        <w:rPr>
          <w:b/>
          <w:sz w:val="24"/>
        </w:rPr>
        <w:t>60</w:t>
      </w:r>
      <w:r w:rsidR="00D5235C" w:rsidRPr="00B31B1F">
        <w:rPr>
          <w:b/>
          <w:sz w:val="24"/>
        </w:rPr>
        <w:t xml:space="preserve"> </w:t>
      </w:r>
      <w:r w:rsidRPr="00B31B1F">
        <w:rPr>
          <w:b/>
          <w:sz w:val="24"/>
        </w:rPr>
        <w:t>měsíců</w:t>
      </w:r>
      <w:r>
        <w:rPr>
          <w:sz w:val="24"/>
        </w:rPr>
        <w:t>.</w:t>
      </w:r>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A54045">
      <w:pPr>
        <w:pStyle w:val="Nadpis6"/>
        <w:keepNext w:val="0"/>
        <w:spacing w:beforeLines="20" w:before="48" w:after="120"/>
        <w:rPr>
          <w:rFonts w:ascii="Times New Roman" w:hAnsi="Times New Roman"/>
        </w:rPr>
      </w:pPr>
    </w:p>
    <w:p w:rsidR="00AB4691" w:rsidRPr="00AB4691" w:rsidRDefault="00AB4691" w:rsidP="00AB4691"/>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w:t>
      </w:r>
      <w:proofErr w:type="gramStart"/>
      <w:r w:rsidR="0004438B" w:rsidRPr="0006644B">
        <w:rPr>
          <w:sz w:val="24"/>
        </w:rPr>
        <w:t xml:space="preserve">do   </w:t>
      </w:r>
      <w:r w:rsidR="007F2AA2" w:rsidRPr="0006644B">
        <w:rPr>
          <w:sz w:val="24"/>
        </w:rPr>
        <w:t>7 kalendářních</w:t>
      </w:r>
      <w:proofErr w:type="gramEnd"/>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Zhotovitel souhlasí se zveřejněním smlouvy na</w:t>
      </w:r>
      <w:r w:rsidR="00B31B1F">
        <w:rPr>
          <w:sz w:val="24"/>
        </w:rPr>
        <w:t xml:space="preserve"> </w:t>
      </w:r>
      <w:r>
        <w:rPr>
          <w:sz w:val="24"/>
        </w:rPr>
        <w:t xml:space="preserve"> </w:t>
      </w:r>
      <w:hyperlink r:id="rId9" w:history="1">
        <w:r w:rsidR="00B31B1F" w:rsidRPr="00BE44F1">
          <w:rPr>
            <w:rStyle w:val="Hypertextovodkaz"/>
            <w:sz w:val="24"/>
          </w:rPr>
          <w:t>http://www.as-po.cz/verejne-zakazky</w:t>
        </w:r>
      </w:hyperlink>
      <w:r w:rsidR="00B31B1F">
        <w:rPr>
          <w:sz w:val="24"/>
        </w:rPr>
        <w:t xml:space="preserve"> </w:t>
      </w:r>
    </w:p>
    <w:p w:rsidR="00197CB7" w:rsidRPr="006C301D" w:rsidRDefault="00197CB7" w:rsidP="00B31B1F">
      <w:pPr>
        <w:numPr>
          <w:ilvl w:val="0"/>
          <w:numId w:val="17"/>
        </w:numPr>
        <w:autoSpaceDE w:val="0"/>
        <w:autoSpaceDN w:val="0"/>
        <w:adjustRightInd w:val="0"/>
        <w:jc w:val="both"/>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w:t>
      </w:r>
      <w:r w:rsidRPr="006C301D">
        <w:rPr>
          <w:color w:val="000000"/>
          <w:sz w:val="24"/>
          <w:szCs w:val="24"/>
        </w:rPr>
        <w:t xml:space="preserve">hodnotě </w:t>
      </w:r>
      <w:r w:rsidRPr="00B26C3D">
        <w:rPr>
          <w:b/>
          <w:color w:val="FF0000"/>
          <w:sz w:val="24"/>
          <w:szCs w:val="24"/>
        </w:rPr>
        <w:t> </w:t>
      </w:r>
      <w:r w:rsidR="00B26C3D" w:rsidRPr="00AC38E7">
        <w:rPr>
          <w:b/>
          <w:sz w:val="24"/>
          <w:szCs w:val="24"/>
        </w:rPr>
        <w:t>5</w:t>
      </w:r>
      <w:r w:rsidR="00AC38E7" w:rsidRPr="00AC38E7">
        <w:rPr>
          <w:b/>
          <w:sz w:val="24"/>
          <w:szCs w:val="24"/>
        </w:rPr>
        <w:t xml:space="preserve"> 0</w:t>
      </w:r>
      <w:r w:rsidRPr="00AC38E7">
        <w:rPr>
          <w:b/>
          <w:sz w:val="24"/>
          <w:szCs w:val="24"/>
        </w:rPr>
        <w:t>00 000,-Kč.</w:t>
      </w:r>
    </w:p>
    <w:p w:rsidR="00AE2642" w:rsidRDefault="00AE2642">
      <w:pPr>
        <w:shd w:val="clear" w:color="00FFFF" w:fill="auto"/>
        <w:spacing w:beforeLines="20" w:before="48"/>
        <w:jc w:val="center"/>
        <w:rPr>
          <w:b/>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Default="0075034C" w:rsidP="005E7E7A">
      <w:pPr>
        <w:numPr>
          <w:ilvl w:val="0"/>
          <w:numId w:val="26"/>
        </w:numPr>
        <w:shd w:val="clear" w:color="00FFFF" w:fill="auto"/>
        <w:jc w:val="both"/>
        <w:rPr>
          <w:sz w:val="24"/>
        </w:rPr>
      </w:pPr>
      <w:r>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A54045">
      <w:pPr>
        <w:pStyle w:val="Nadpis6"/>
        <w:keepNext w:val="0"/>
        <w:spacing w:beforeLines="20" w:before="48"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B31B1F">
      <w:pPr>
        <w:numPr>
          <w:ilvl w:val="0"/>
          <w:numId w:val="8"/>
        </w:numPr>
        <w:tabs>
          <w:tab w:val="clear" w:pos="851"/>
          <w:tab w:val="num" w:pos="709"/>
          <w:tab w:val="right" w:pos="9071"/>
        </w:tabs>
        <w:spacing w:after="120"/>
        <w:ind w:left="709" w:hanging="709"/>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p>
    <w:p w:rsidR="00AE2642" w:rsidRDefault="00AE2642" w:rsidP="00B31B1F">
      <w:pPr>
        <w:numPr>
          <w:ilvl w:val="0"/>
          <w:numId w:val="8"/>
        </w:numPr>
        <w:tabs>
          <w:tab w:val="clear" w:pos="851"/>
          <w:tab w:val="num" w:pos="709"/>
          <w:tab w:val="right" w:pos="9071"/>
        </w:tabs>
        <w:spacing w:after="120"/>
        <w:jc w:val="both"/>
        <w:rPr>
          <w:sz w:val="24"/>
        </w:rPr>
      </w:pPr>
      <w:r>
        <w:rPr>
          <w:sz w:val="24"/>
        </w:rPr>
        <w:t>Úhradou smluvní pokuty není dotčeno právo požadovat náhradu škody v plné výši.</w:t>
      </w:r>
    </w:p>
    <w:p w:rsidR="007D4A64" w:rsidRDefault="007D4A64" w:rsidP="007D4A64"/>
    <w:p w:rsidR="00AE2642" w:rsidRPr="00A54045" w:rsidRDefault="00F866AD" w:rsidP="00A54045">
      <w:pPr>
        <w:pStyle w:val="Nadpis6"/>
        <w:keepNext w:val="0"/>
        <w:spacing w:beforeLines="20" w:before="48"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pPr>
        <w:pStyle w:val="Zkladntext3"/>
        <w:numPr>
          <w:ilvl w:val="0"/>
          <w:numId w:val="9"/>
        </w:numPr>
        <w:spacing w:beforeLines="20" w:before="48"/>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lastRenderedPageBreak/>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pPr>
        <w:numPr>
          <w:ilvl w:val="0"/>
          <w:numId w:val="9"/>
        </w:numPr>
        <w:spacing w:beforeLines="20" w:before="48"/>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D5683D" w:rsidRDefault="00D5683D" w:rsidP="00D5683D">
      <w:pPr>
        <w:spacing w:beforeLines="20" w:before="48"/>
        <w:ind w:left="851"/>
        <w:jc w:val="both"/>
        <w:rPr>
          <w:sz w:val="24"/>
        </w:rPr>
      </w:pPr>
    </w:p>
    <w:p w:rsidR="00705208" w:rsidRDefault="00705208" w:rsidP="00705208">
      <w:pPr>
        <w:spacing w:beforeLines="20" w:before="48"/>
        <w:ind w:left="851"/>
        <w:jc w:val="both"/>
        <w:rPr>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XI. </w:t>
      </w:r>
      <w:r w:rsidR="00AE2642">
        <w:rPr>
          <w:rFonts w:ascii="Times New Roman" w:hAnsi="Times New Roman"/>
        </w:rPr>
        <w:t>ZÁVĚREČNÁ USTANOVENÍ</w:t>
      </w:r>
    </w:p>
    <w:p w:rsidR="00E55CE9" w:rsidRPr="00E55CE9" w:rsidRDefault="00E55CE9" w:rsidP="00E55CE9">
      <w:pPr>
        <w:numPr>
          <w:ilvl w:val="0"/>
          <w:numId w:val="10"/>
        </w:numPr>
        <w:tabs>
          <w:tab w:val="left" w:pos="0"/>
          <w:tab w:val="right" w:pos="4253"/>
        </w:tabs>
        <w:spacing w:before="120" w:after="120" w:line="288" w:lineRule="auto"/>
        <w:jc w:val="both"/>
        <w:rPr>
          <w:b/>
          <w:sz w:val="24"/>
          <w:szCs w:val="24"/>
        </w:rPr>
      </w:pPr>
      <w:r w:rsidRPr="00E55CE9">
        <w:rPr>
          <w:bCs/>
          <w:sz w:val="24"/>
        </w:rPr>
        <w:t>Tato smlouva a práva a povinn</w:t>
      </w:r>
      <w:r>
        <w:rPr>
          <w:bCs/>
          <w:sz w:val="24"/>
        </w:rPr>
        <w:t>o</w:t>
      </w:r>
      <w:r w:rsidRPr="00E55CE9">
        <w:rPr>
          <w:bCs/>
          <w:sz w:val="24"/>
        </w:rPr>
        <w:t>sti z ní vzniklé</w:t>
      </w:r>
      <w:r w:rsidR="00DA7F83">
        <w:rPr>
          <w:bCs/>
          <w:sz w:val="24"/>
        </w:rPr>
        <w:t xml:space="preserve"> </w:t>
      </w:r>
      <w:r w:rsidRPr="00E55CE9">
        <w:rPr>
          <w:bCs/>
          <w:sz w:val="24"/>
        </w:rPr>
        <w:t>s</w:t>
      </w:r>
      <w:r w:rsidR="00DA7F83">
        <w:rPr>
          <w:bCs/>
          <w:sz w:val="24"/>
        </w:rPr>
        <w:t>e</w:t>
      </w:r>
      <w:r w:rsidRPr="00E55CE9">
        <w:rPr>
          <w:bCs/>
          <w:sz w:val="24"/>
        </w:rPr>
        <w:t xml:space="preserve"> říd</w:t>
      </w:r>
      <w:r w:rsidR="00DA7F83">
        <w:rPr>
          <w:bCs/>
          <w:sz w:val="24"/>
        </w:rPr>
        <w:t>í</w:t>
      </w:r>
      <w:r w:rsidRPr="00E55CE9">
        <w:rPr>
          <w:bCs/>
          <w:sz w:val="24"/>
        </w:rPr>
        <w:t xml:space="preserve"> zákonem č. 89/2012 Sb., občanský zákoník.</w:t>
      </w:r>
      <w:r w:rsidRPr="00E55CE9">
        <w:rPr>
          <w:bCs/>
          <w:color w:val="FF0000"/>
          <w:sz w:val="24"/>
        </w:rPr>
        <w:t xml:space="preserve"> </w:t>
      </w:r>
    </w:p>
    <w:p w:rsidR="00AE2642" w:rsidRPr="00356198" w:rsidRDefault="00356198" w:rsidP="007D4A64">
      <w:pPr>
        <w:pStyle w:val="Zkladntext3"/>
        <w:numPr>
          <w:ilvl w:val="0"/>
          <w:numId w:val="10"/>
        </w:numPr>
        <w:spacing w:before="0" w:after="120"/>
        <w:jc w:val="both"/>
        <w:rPr>
          <w:b/>
          <w:bCs/>
        </w:rPr>
      </w:pPr>
      <w:r>
        <w:t>Tato s</w:t>
      </w:r>
      <w:r w:rsidR="00AE2642">
        <w:t>mlouva</w:t>
      </w:r>
      <w:r>
        <w:t xml:space="preserve"> nabývá účinnosti okamžikem jejího </w:t>
      </w:r>
      <w:r w:rsidR="00AE2642">
        <w:t xml:space="preserve">podpisu </w:t>
      </w:r>
      <w:r w:rsidR="00815F14">
        <w:t xml:space="preserve">poslední </w:t>
      </w:r>
      <w:r w:rsidR="00AE2642">
        <w:t>smluvní</w:t>
      </w:r>
      <w:r w:rsidR="00815F14">
        <w:t xml:space="preserve"> stranou.</w:t>
      </w:r>
    </w:p>
    <w:p w:rsidR="00356198" w:rsidRDefault="00440DBA" w:rsidP="007D4A64">
      <w:pPr>
        <w:pStyle w:val="Zkladntext3"/>
        <w:numPr>
          <w:ilvl w:val="0"/>
          <w:numId w:val="10"/>
        </w:numPr>
        <w:spacing w:before="0" w:after="120"/>
        <w:jc w:val="both"/>
        <w:rPr>
          <w:b/>
          <w:bCs/>
        </w:rPr>
      </w:pPr>
      <w: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Default="00AE2642" w:rsidP="007D4A64">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w:t>
      </w:r>
      <w:r w:rsidR="00815F14">
        <w:t xml:space="preserve"> Za písemnou formu nebude pro tento účel považována výměna e-mailových či jiných elektronických zpráv.</w:t>
      </w:r>
    </w:p>
    <w:p w:rsidR="00AE2642" w:rsidRDefault="00AE2642" w:rsidP="007D4A64">
      <w:pPr>
        <w:pStyle w:val="Zkladntext3"/>
        <w:numPr>
          <w:ilvl w:val="0"/>
          <w:numId w:val="10"/>
        </w:numPr>
        <w:spacing w:before="0" w:after="120"/>
        <w:jc w:val="both"/>
      </w:pPr>
      <w:r>
        <w:t xml:space="preserve">Smlouva se vyhotovuje ve čtyřech stejnopisech, z nichž l </w:t>
      </w:r>
      <w:proofErr w:type="spellStart"/>
      <w:r w:rsidR="006B45DB">
        <w:t>paré</w:t>
      </w:r>
      <w:proofErr w:type="spellEnd"/>
      <w:r w:rsidR="006B45DB">
        <w:t xml:space="preserve"> </w:t>
      </w:r>
      <w:r>
        <w:t xml:space="preserve">obdrží zhotovitel a </w:t>
      </w:r>
      <w:r w:rsidR="006B45DB">
        <w:t xml:space="preserve">3 </w:t>
      </w:r>
      <w:proofErr w:type="spellStart"/>
      <w:r w:rsidR="006B45DB">
        <w:t>paré</w:t>
      </w:r>
      <w:proofErr w:type="spellEnd"/>
      <w:r>
        <w:t xml:space="preserve"> objednatel.</w:t>
      </w:r>
    </w:p>
    <w:p w:rsidR="00AE2642" w:rsidRDefault="00AE2642" w:rsidP="007D4A64">
      <w:pPr>
        <w:pStyle w:val="Zkladntext3"/>
        <w:numPr>
          <w:ilvl w:val="0"/>
          <w:numId w:val="10"/>
        </w:numPr>
        <w:spacing w:before="0" w:after="120"/>
        <w:jc w:val="both"/>
      </w:pPr>
      <w:r>
        <w:t>Účastníci smlouvu přečetli, s jejím obsahem souhlasí, což stvrzují svými podpisy.</w:t>
      </w:r>
    </w:p>
    <w:p w:rsidR="005E7E7A" w:rsidRDefault="005E7E7A" w:rsidP="005E7E7A">
      <w:pPr>
        <w:pStyle w:val="Zkladntext3"/>
        <w:spacing w:before="0" w:after="120"/>
        <w:jc w:val="both"/>
      </w:pPr>
    </w:p>
    <w:p w:rsidR="00CB0A2D" w:rsidRDefault="00CB0A2D" w:rsidP="00CB0A2D">
      <w:pPr>
        <w:pStyle w:val="Nadpis6"/>
        <w:keepNext w:val="0"/>
        <w:spacing w:beforeLines="20" w:before="48" w:after="120"/>
        <w:rPr>
          <w:rFonts w:ascii="Times New Roman" w:hAnsi="Times New Roman"/>
        </w:rPr>
      </w:pPr>
      <w:r>
        <w:rPr>
          <w:rFonts w:ascii="Times New Roman" w:hAnsi="Times New Roman"/>
        </w:rPr>
        <w:t>XII. PŘÍLOHY</w:t>
      </w:r>
    </w:p>
    <w:p w:rsidR="00CB0A2D" w:rsidRPr="00C73640" w:rsidRDefault="00CB0A2D" w:rsidP="00CB0A2D">
      <w:pPr>
        <w:rPr>
          <w:sz w:val="24"/>
          <w:szCs w:val="24"/>
        </w:rPr>
      </w:pPr>
      <w:r w:rsidRPr="00C73640">
        <w:rPr>
          <w:sz w:val="24"/>
          <w:szCs w:val="24"/>
        </w:rPr>
        <w:t>Příloha č. 1:</w:t>
      </w:r>
      <w:r w:rsidRPr="00C73640">
        <w:rPr>
          <w:sz w:val="24"/>
          <w:szCs w:val="24"/>
        </w:rPr>
        <w:tab/>
      </w:r>
      <w:r w:rsidR="00B26C3D">
        <w:rPr>
          <w:sz w:val="24"/>
          <w:szCs w:val="24"/>
        </w:rPr>
        <w:t>Soupis stavebních prací a dodávek</w:t>
      </w:r>
      <w:r>
        <w:rPr>
          <w:sz w:val="24"/>
          <w:szCs w:val="24"/>
        </w:rPr>
        <w:t xml:space="preserve"> (</w:t>
      </w:r>
      <w:r w:rsidRPr="005E7E7A">
        <w:rPr>
          <w:sz w:val="24"/>
          <w:szCs w:val="24"/>
          <w:highlight w:val="yellow"/>
        </w:rPr>
        <w:t>…</w:t>
      </w:r>
      <w:r>
        <w:rPr>
          <w:sz w:val="24"/>
          <w:szCs w:val="24"/>
        </w:rPr>
        <w:t xml:space="preserve"> listů)</w:t>
      </w:r>
    </w:p>
    <w:p w:rsidR="005E7E7A" w:rsidRDefault="005E7E7A" w:rsidP="005E7E7A">
      <w:pPr>
        <w:pStyle w:val="Zkladntext3"/>
        <w:spacing w:before="0" w:after="120"/>
        <w:jc w:val="both"/>
      </w:pPr>
    </w:p>
    <w:p w:rsidR="00C73640" w:rsidRDefault="00C73640">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proofErr w:type="gramStart"/>
      <w:r w:rsidRPr="00F17640">
        <w:rPr>
          <w:sz w:val="24"/>
        </w:rPr>
        <w:t>dne</w:t>
      </w:r>
      <w:proofErr w:type="gramEnd"/>
      <w:r w:rsidRPr="00F17640">
        <w:rPr>
          <w:sz w:val="24"/>
        </w:rPr>
        <w:t>:</w:t>
      </w:r>
      <w:r w:rsidRPr="004B6C2E">
        <w:rPr>
          <w:sz w:val="24"/>
          <w:shd w:val="clear" w:color="auto" w:fill="FFFF00"/>
        </w:rPr>
        <w:t>……………</w:t>
      </w:r>
      <w:r>
        <w:rPr>
          <w:sz w:val="24"/>
          <w:shd w:val="clear" w:color="auto" w:fill="FFFF00"/>
        </w:rPr>
        <w:t>.....</w:t>
      </w:r>
    </w:p>
    <w:p w:rsidR="005E7E7A" w:rsidRDefault="005E7E7A" w:rsidP="005E7E7A">
      <w:pPr>
        <w:rPr>
          <w:sz w:val="24"/>
        </w:rPr>
      </w:pPr>
    </w:p>
    <w:p w:rsidR="005E7E7A" w:rsidRDefault="005E7E7A" w:rsidP="005E7E7A">
      <w:pPr>
        <w:rPr>
          <w:sz w:val="24"/>
        </w:rPr>
      </w:pPr>
    </w:p>
    <w:p w:rsidR="005E7E7A" w:rsidRDefault="005E7E7A" w:rsidP="005E7E7A">
      <w:pPr>
        <w:rPr>
          <w:sz w:val="24"/>
        </w:rPr>
      </w:pPr>
    </w:p>
    <w:p w:rsidR="00CB0A2D" w:rsidRDefault="00CB0A2D" w:rsidP="005E7E7A">
      <w:pPr>
        <w:rPr>
          <w:sz w:val="24"/>
        </w:rPr>
      </w:pPr>
    </w:p>
    <w:p w:rsidR="00CB0A2D" w:rsidRDefault="00CB0A2D" w:rsidP="005E7E7A">
      <w:pPr>
        <w:rPr>
          <w:sz w:val="24"/>
        </w:rPr>
      </w:pPr>
      <w:bookmarkStart w:id="0" w:name="_GoBack"/>
      <w:bookmarkEnd w:id="0"/>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w:t>
      </w:r>
      <w:r>
        <w:rPr>
          <w:sz w:val="24"/>
        </w:rPr>
        <w:t>____</w:t>
      </w:r>
      <w:r w:rsidR="002118E7">
        <w:rPr>
          <w:sz w:val="24"/>
        </w:rPr>
        <w:t>_______</w:t>
      </w:r>
      <w:r w:rsidR="00CB0A2D">
        <w:rPr>
          <w:sz w:val="24"/>
        </w:rPr>
        <w:t>___</w:t>
      </w:r>
      <w:r w:rsidR="002118E7">
        <w:rPr>
          <w:sz w:val="24"/>
        </w:rPr>
        <w:tab/>
      </w:r>
      <w:r w:rsidR="00F23FE3">
        <w:rPr>
          <w:sz w:val="24"/>
        </w:rPr>
        <w:t xml:space="preserve">              </w:t>
      </w:r>
      <w:r>
        <w:rPr>
          <w:sz w:val="24"/>
        </w:rPr>
        <w:t>__________________________</w:t>
      </w:r>
      <w:r w:rsidR="00F23FE3">
        <w:rPr>
          <w:sz w:val="24"/>
        </w:rPr>
        <w:t>__</w:t>
      </w:r>
      <w:r>
        <w:rPr>
          <w:sz w:val="24"/>
        </w:rPr>
        <w:t>___</w:t>
      </w:r>
    </w:p>
    <w:p w:rsidR="002118E7" w:rsidRDefault="005E7E7A" w:rsidP="002118E7">
      <w:pPr>
        <w:pStyle w:val="Odstavecseseznamem"/>
        <w:spacing w:after="0" w:line="240" w:lineRule="auto"/>
        <w:ind w:hanging="1004"/>
        <w:rPr>
          <w:rFonts w:ascii="Times New Roman" w:hAnsi="Times New Roman"/>
          <w:sz w:val="24"/>
        </w:rPr>
      </w:pPr>
      <w:r w:rsidRPr="005E7E7A">
        <w:rPr>
          <w:rFonts w:ascii="Times New Roman" w:hAnsi="Times New Roman"/>
          <w:sz w:val="24"/>
        </w:rPr>
        <w:t>A</w:t>
      </w:r>
      <w:r w:rsidR="00F23FE3">
        <w:rPr>
          <w:rFonts w:ascii="Times New Roman" w:hAnsi="Times New Roman"/>
          <w:sz w:val="24"/>
        </w:rPr>
        <w:t>rmádní Servisní</w:t>
      </w:r>
      <w:r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F23FE3">
        <w:rPr>
          <w:rFonts w:ascii="Times New Roman" w:hAnsi="Times New Roman"/>
          <w:sz w:val="24"/>
        </w:rPr>
        <w:t xml:space="preserve">            </w:t>
      </w:r>
      <w:r w:rsidR="00CB0A2D">
        <w:rPr>
          <w:rFonts w:ascii="Times New Roman" w:hAnsi="Times New Roman"/>
          <w:sz w:val="24"/>
        </w:rPr>
        <w:tab/>
      </w:r>
      <w:r w:rsidR="00CB0A2D" w:rsidRPr="004B6C2E">
        <w:rPr>
          <w:sz w:val="24"/>
          <w:shd w:val="clear" w:color="auto" w:fill="FFFF00"/>
        </w:rPr>
        <w:t>…………</w:t>
      </w:r>
      <w:proofErr w:type="gramStart"/>
      <w:r w:rsidR="00CB0A2D" w:rsidRPr="004B6C2E">
        <w:rPr>
          <w:sz w:val="24"/>
          <w:shd w:val="clear" w:color="auto" w:fill="FFFF00"/>
        </w:rPr>
        <w:t>…</w:t>
      </w:r>
      <w:r w:rsidR="00CB0A2D">
        <w:rPr>
          <w:sz w:val="24"/>
          <w:shd w:val="clear" w:color="auto" w:fill="FFFF00"/>
        </w:rPr>
        <w:t>.....</w:t>
      </w:r>
      <w:proofErr w:type="gramEnd"/>
    </w:p>
    <w:p w:rsidR="002118E7" w:rsidRDefault="00F23FE3" w:rsidP="00F23FE3">
      <w:pPr>
        <w:pStyle w:val="Odstavecseseznamem"/>
        <w:spacing w:after="0" w:line="240" w:lineRule="auto"/>
        <w:ind w:left="0"/>
        <w:rPr>
          <w:rFonts w:ascii="Times New Roman" w:hAnsi="Times New Roman"/>
          <w:sz w:val="24"/>
        </w:rPr>
      </w:pPr>
      <w:r>
        <w:rPr>
          <w:rFonts w:ascii="Times New Roman" w:hAnsi="Times New Roman"/>
          <w:sz w:val="24"/>
        </w:rPr>
        <w:t xml:space="preserve">    </w:t>
      </w:r>
      <w:r w:rsidR="002118E7">
        <w:rPr>
          <w:rFonts w:ascii="Times New Roman" w:hAnsi="Times New Roman"/>
          <w:sz w:val="24"/>
        </w:rPr>
        <w:t>I</w:t>
      </w:r>
      <w:r w:rsidR="005E7E7A" w:rsidRPr="005E7E7A">
        <w:rPr>
          <w:rFonts w:ascii="Times New Roman" w:hAnsi="Times New Roman"/>
          <w:sz w:val="24"/>
        </w:rPr>
        <w:t>ng. Dagmar Kynclová, MBA</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CB0A2D" w:rsidRPr="004B6C2E">
        <w:rPr>
          <w:sz w:val="24"/>
          <w:shd w:val="clear" w:color="auto" w:fill="FFFF00"/>
        </w:rPr>
        <w:t>…………</w:t>
      </w:r>
      <w:proofErr w:type="gramStart"/>
      <w:r w:rsidR="00CB0A2D" w:rsidRPr="004B6C2E">
        <w:rPr>
          <w:sz w:val="24"/>
          <w:shd w:val="clear" w:color="auto" w:fill="FFFF00"/>
        </w:rPr>
        <w:t>…</w:t>
      </w:r>
      <w:r w:rsidR="00CB0A2D">
        <w:rPr>
          <w:sz w:val="24"/>
          <w:shd w:val="clear" w:color="auto" w:fill="FFFF00"/>
        </w:rPr>
        <w:t>.....</w:t>
      </w:r>
      <w:proofErr w:type="gramEnd"/>
    </w:p>
    <w:p w:rsidR="005E7E7A" w:rsidRDefault="00F23FE3" w:rsidP="00F23FE3">
      <w:pPr>
        <w:pStyle w:val="Odstavecseseznamem"/>
        <w:spacing w:after="0" w:line="240" w:lineRule="auto"/>
        <w:rPr>
          <w:sz w:val="24"/>
        </w:rPr>
      </w:pPr>
      <w:r>
        <w:rPr>
          <w:rFonts w:ascii="Times New Roman" w:hAnsi="Times New Roman"/>
          <w:sz w:val="24"/>
        </w:rPr>
        <w:t xml:space="preserve">        </w:t>
      </w:r>
      <w:r w:rsidR="005E7E7A" w:rsidRPr="005E7E7A">
        <w:rPr>
          <w:rFonts w:ascii="Times New Roman" w:hAnsi="Times New Roman"/>
          <w:sz w:val="24"/>
        </w:rPr>
        <w:t>ředitelka</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sidRPr="004B6C2E">
        <w:rPr>
          <w:sz w:val="24"/>
          <w:shd w:val="clear" w:color="auto" w:fill="FFFF00"/>
        </w:rPr>
        <w:t>…………</w:t>
      </w:r>
      <w:proofErr w:type="gramStart"/>
      <w:r w:rsidR="00CB0A2D" w:rsidRPr="004B6C2E">
        <w:rPr>
          <w:sz w:val="24"/>
          <w:shd w:val="clear" w:color="auto" w:fill="FFFF00"/>
        </w:rPr>
        <w:t>…</w:t>
      </w:r>
      <w:r w:rsidR="00CB0A2D">
        <w:rPr>
          <w:sz w:val="24"/>
          <w:shd w:val="clear" w:color="auto" w:fill="FFFF00"/>
        </w:rPr>
        <w:t>.....</w:t>
      </w:r>
      <w:proofErr w:type="gramEnd"/>
    </w:p>
    <w:sectPr w:rsidR="005E7E7A"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D6" w:rsidRDefault="003623D6">
      <w:r>
        <w:separator/>
      </w:r>
    </w:p>
  </w:endnote>
  <w:endnote w:type="continuationSeparator" w:id="0">
    <w:p w:rsidR="003623D6" w:rsidRDefault="003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D5801">
      <w:rPr>
        <w:rStyle w:val="slostrnky"/>
        <w:noProof/>
      </w:rPr>
      <w:t>2</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D6" w:rsidRDefault="003623D6">
      <w:r>
        <w:separator/>
      </w:r>
    </w:p>
  </w:footnote>
  <w:footnote w:type="continuationSeparator" w:id="0">
    <w:p w:rsidR="003623D6" w:rsidRDefault="0036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580911">
      <w:rPr>
        <w:sz w:val="24"/>
        <w:szCs w:val="24"/>
      </w:rPr>
      <w:t>3</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DE7538"/>
    <w:multiLevelType w:val="hybridMultilevel"/>
    <w:tmpl w:val="2C680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9">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3E4F8F"/>
    <w:multiLevelType w:val="hybridMultilevel"/>
    <w:tmpl w:val="219CCF30"/>
    <w:lvl w:ilvl="0" w:tplc="8F1A7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64B65EEE"/>
    <w:multiLevelType w:val="singleLevel"/>
    <w:tmpl w:val="DA7C6EB4"/>
    <w:lvl w:ilvl="0">
      <w:start w:val="1"/>
      <w:numFmt w:val="decimal"/>
      <w:lvlText w:val="4.%1"/>
      <w:lvlJc w:val="left"/>
      <w:pPr>
        <w:tabs>
          <w:tab w:val="num" w:pos="851"/>
        </w:tabs>
        <w:ind w:left="851" w:hanging="851"/>
      </w:pPr>
      <w:rPr>
        <w:rFonts w:ascii="Book Antiqua" w:hAnsi="Book Antiqua" w:hint="default"/>
        <w:b/>
        <w:i w:val="0"/>
        <w:sz w:val="22"/>
        <w:u w:val="none"/>
      </w:rPr>
    </w:lvl>
  </w:abstractNum>
  <w:abstractNum w:abstractNumId="2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2">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7">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13"/>
  </w:num>
  <w:num w:numId="4">
    <w:abstractNumId w:val="27"/>
  </w:num>
  <w:num w:numId="5">
    <w:abstractNumId w:val="29"/>
  </w:num>
  <w:num w:numId="6">
    <w:abstractNumId w:val="9"/>
  </w:num>
  <w:num w:numId="7">
    <w:abstractNumId w:val="5"/>
  </w:num>
  <w:num w:numId="8">
    <w:abstractNumId w:val="24"/>
  </w:num>
  <w:num w:numId="9">
    <w:abstractNumId w:val="3"/>
  </w:num>
  <w:num w:numId="10">
    <w:abstractNumId w:val="25"/>
  </w:num>
  <w:num w:numId="11">
    <w:abstractNumId w:val="23"/>
  </w:num>
  <w:num w:numId="12">
    <w:abstractNumId w:val="11"/>
  </w:num>
  <w:num w:numId="13">
    <w:abstractNumId w:val="1"/>
  </w:num>
  <w:num w:numId="14">
    <w:abstractNumId w:val="22"/>
  </w:num>
  <w:num w:numId="15">
    <w:abstractNumId w:val="12"/>
  </w:num>
  <w:num w:numId="16">
    <w:abstractNumId w:val="21"/>
  </w:num>
  <w:num w:numId="17">
    <w:abstractNumId w:val="26"/>
  </w:num>
  <w:num w:numId="18">
    <w:abstractNumId w:val="20"/>
  </w:num>
  <w:num w:numId="19">
    <w:abstractNumId w:val="28"/>
  </w:num>
  <w:num w:numId="20">
    <w:abstractNumId w:val="2"/>
  </w:num>
  <w:num w:numId="21">
    <w:abstractNumId w:val="17"/>
  </w:num>
  <w:num w:numId="22">
    <w:abstractNumId w:val="6"/>
  </w:num>
  <w:num w:numId="23">
    <w:abstractNumId w:val="15"/>
  </w:num>
  <w:num w:numId="24">
    <w:abstractNumId w:val="8"/>
  </w:num>
  <w:num w:numId="25">
    <w:abstractNumId w:val="0"/>
  </w:num>
  <w:num w:numId="26">
    <w:abstractNumId w:val="4"/>
  </w:num>
  <w:num w:numId="27">
    <w:abstractNumId w:val="14"/>
  </w:num>
  <w:num w:numId="28">
    <w:abstractNumId w:val="18"/>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438B"/>
    <w:rsid w:val="00053D8D"/>
    <w:rsid w:val="0005648E"/>
    <w:rsid w:val="00064B1D"/>
    <w:rsid w:val="0006644B"/>
    <w:rsid w:val="0007119C"/>
    <w:rsid w:val="00082EE7"/>
    <w:rsid w:val="00085ACD"/>
    <w:rsid w:val="000A3F7C"/>
    <w:rsid w:val="000B0BB8"/>
    <w:rsid w:val="000B4217"/>
    <w:rsid w:val="000C4430"/>
    <w:rsid w:val="000D0F05"/>
    <w:rsid w:val="000D2941"/>
    <w:rsid w:val="000D63FC"/>
    <w:rsid w:val="000F6196"/>
    <w:rsid w:val="00102CFB"/>
    <w:rsid w:val="0011305B"/>
    <w:rsid w:val="001164FA"/>
    <w:rsid w:val="0012112F"/>
    <w:rsid w:val="00124E54"/>
    <w:rsid w:val="00126A9A"/>
    <w:rsid w:val="00134292"/>
    <w:rsid w:val="00143F3E"/>
    <w:rsid w:val="00161833"/>
    <w:rsid w:val="00167E17"/>
    <w:rsid w:val="00170208"/>
    <w:rsid w:val="00172B03"/>
    <w:rsid w:val="0017505B"/>
    <w:rsid w:val="00197CB7"/>
    <w:rsid w:val="001B51E2"/>
    <w:rsid w:val="001E5CE7"/>
    <w:rsid w:val="00203EBD"/>
    <w:rsid w:val="002118E7"/>
    <w:rsid w:val="002213A3"/>
    <w:rsid w:val="002301C4"/>
    <w:rsid w:val="002404B9"/>
    <w:rsid w:val="00251A87"/>
    <w:rsid w:val="00255DF6"/>
    <w:rsid w:val="00264918"/>
    <w:rsid w:val="002658A9"/>
    <w:rsid w:val="002821D9"/>
    <w:rsid w:val="002B65DD"/>
    <w:rsid w:val="002C458F"/>
    <w:rsid w:val="002D2786"/>
    <w:rsid w:val="002D52B0"/>
    <w:rsid w:val="00302F96"/>
    <w:rsid w:val="00306661"/>
    <w:rsid w:val="0032040C"/>
    <w:rsid w:val="0034313C"/>
    <w:rsid w:val="00344C6D"/>
    <w:rsid w:val="00346428"/>
    <w:rsid w:val="00353802"/>
    <w:rsid w:val="00356198"/>
    <w:rsid w:val="003623D6"/>
    <w:rsid w:val="0036638E"/>
    <w:rsid w:val="0037006B"/>
    <w:rsid w:val="0039725D"/>
    <w:rsid w:val="003972B8"/>
    <w:rsid w:val="003B0799"/>
    <w:rsid w:val="003B3400"/>
    <w:rsid w:val="003B70C8"/>
    <w:rsid w:val="003C35A8"/>
    <w:rsid w:val="003C3812"/>
    <w:rsid w:val="003D0288"/>
    <w:rsid w:val="003D29D6"/>
    <w:rsid w:val="003D5A9B"/>
    <w:rsid w:val="003F4000"/>
    <w:rsid w:val="004022AB"/>
    <w:rsid w:val="00403490"/>
    <w:rsid w:val="0041335B"/>
    <w:rsid w:val="004331C0"/>
    <w:rsid w:val="004357B7"/>
    <w:rsid w:val="0043692D"/>
    <w:rsid w:val="00440DBA"/>
    <w:rsid w:val="0044446E"/>
    <w:rsid w:val="004540F1"/>
    <w:rsid w:val="00455900"/>
    <w:rsid w:val="0046156D"/>
    <w:rsid w:val="00465C84"/>
    <w:rsid w:val="00473AE3"/>
    <w:rsid w:val="00481EBB"/>
    <w:rsid w:val="0048318A"/>
    <w:rsid w:val="004934DE"/>
    <w:rsid w:val="00495DE3"/>
    <w:rsid w:val="004B1667"/>
    <w:rsid w:val="004B3E4F"/>
    <w:rsid w:val="004F49F6"/>
    <w:rsid w:val="004F699B"/>
    <w:rsid w:val="00502E1D"/>
    <w:rsid w:val="005138E7"/>
    <w:rsid w:val="00557C70"/>
    <w:rsid w:val="00580911"/>
    <w:rsid w:val="00587F09"/>
    <w:rsid w:val="005963A8"/>
    <w:rsid w:val="00596B25"/>
    <w:rsid w:val="00597A31"/>
    <w:rsid w:val="005A3D30"/>
    <w:rsid w:val="005A4411"/>
    <w:rsid w:val="005A5731"/>
    <w:rsid w:val="005A6283"/>
    <w:rsid w:val="005A7F28"/>
    <w:rsid w:val="005B58C5"/>
    <w:rsid w:val="005C187E"/>
    <w:rsid w:val="005E7139"/>
    <w:rsid w:val="005E7D3D"/>
    <w:rsid w:val="005E7E7A"/>
    <w:rsid w:val="005F7EDB"/>
    <w:rsid w:val="00615570"/>
    <w:rsid w:val="00621E02"/>
    <w:rsid w:val="00625198"/>
    <w:rsid w:val="006344C1"/>
    <w:rsid w:val="0063584C"/>
    <w:rsid w:val="00636C4C"/>
    <w:rsid w:val="00660182"/>
    <w:rsid w:val="00663602"/>
    <w:rsid w:val="00672836"/>
    <w:rsid w:val="00681A23"/>
    <w:rsid w:val="00690BCB"/>
    <w:rsid w:val="006A1AA4"/>
    <w:rsid w:val="006A5382"/>
    <w:rsid w:val="006B45DB"/>
    <w:rsid w:val="006C301D"/>
    <w:rsid w:val="006D2154"/>
    <w:rsid w:val="006E3756"/>
    <w:rsid w:val="006E4FC5"/>
    <w:rsid w:val="006F3DE9"/>
    <w:rsid w:val="00703DB1"/>
    <w:rsid w:val="007047B6"/>
    <w:rsid w:val="00705208"/>
    <w:rsid w:val="00731325"/>
    <w:rsid w:val="00732F72"/>
    <w:rsid w:val="007416C3"/>
    <w:rsid w:val="0074567D"/>
    <w:rsid w:val="00746F82"/>
    <w:rsid w:val="0075034C"/>
    <w:rsid w:val="00753CAB"/>
    <w:rsid w:val="00767CA6"/>
    <w:rsid w:val="00773F23"/>
    <w:rsid w:val="0077767A"/>
    <w:rsid w:val="007853A6"/>
    <w:rsid w:val="00785573"/>
    <w:rsid w:val="00791998"/>
    <w:rsid w:val="00793B5A"/>
    <w:rsid w:val="007947EA"/>
    <w:rsid w:val="007B213D"/>
    <w:rsid w:val="007B6975"/>
    <w:rsid w:val="007C24FF"/>
    <w:rsid w:val="007C4B3B"/>
    <w:rsid w:val="007C4DEA"/>
    <w:rsid w:val="007D4A64"/>
    <w:rsid w:val="007D4CFC"/>
    <w:rsid w:val="007E7EE1"/>
    <w:rsid w:val="007F2AA2"/>
    <w:rsid w:val="00803355"/>
    <w:rsid w:val="00806EF8"/>
    <w:rsid w:val="00815F14"/>
    <w:rsid w:val="008249D7"/>
    <w:rsid w:val="00842029"/>
    <w:rsid w:val="0084231E"/>
    <w:rsid w:val="00847843"/>
    <w:rsid w:val="00864082"/>
    <w:rsid w:val="00874BE4"/>
    <w:rsid w:val="008809D2"/>
    <w:rsid w:val="008A1017"/>
    <w:rsid w:val="008A3DED"/>
    <w:rsid w:val="008A7577"/>
    <w:rsid w:val="008C12D8"/>
    <w:rsid w:val="008C5622"/>
    <w:rsid w:val="008E02C8"/>
    <w:rsid w:val="008F59AC"/>
    <w:rsid w:val="008F6F60"/>
    <w:rsid w:val="00914F75"/>
    <w:rsid w:val="009358A9"/>
    <w:rsid w:val="00941F5F"/>
    <w:rsid w:val="0094232E"/>
    <w:rsid w:val="009460F6"/>
    <w:rsid w:val="00946BE8"/>
    <w:rsid w:val="00946C23"/>
    <w:rsid w:val="00957072"/>
    <w:rsid w:val="00963BCA"/>
    <w:rsid w:val="00970908"/>
    <w:rsid w:val="00985BA2"/>
    <w:rsid w:val="0099006C"/>
    <w:rsid w:val="00995FEB"/>
    <w:rsid w:val="009A71AC"/>
    <w:rsid w:val="009F02B0"/>
    <w:rsid w:val="00A12DBD"/>
    <w:rsid w:val="00A256C9"/>
    <w:rsid w:val="00A3017A"/>
    <w:rsid w:val="00A333A0"/>
    <w:rsid w:val="00A463FF"/>
    <w:rsid w:val="00A54045"/>
    <w:rsid w:val="00A56C3F"/>
    <w:rsid w:val="00A57703"/>
    <w:rsid w:val="00A747B1"/>
    <w:rsid w:val="00A77B67"/>
    <w:rsid w:val="00A82DEA"/>
    <w:rsid w:val="00A8687A"/>
    <w:rsid w:val="00A87620"/>
    <w:rsid w:val="00AB10C1"/>
    <w:rsid w:val="00AB4691"/>
    <w:rsid w:val="00AB695B"/>
    <w:rsid w:val="00AC384A"/>
    <w:rsid w:val="00AC38E7"/>
    <w:rsid w:val="00AD3584"/>
    <w:rsid w:val="00AD5801"/>
    <w:rsid w:val="00AE2642"/>
    <w:rsid w:val="00AE3EFB"/>
    <w:rsid w:val="00AF490F"/>
    <w:rsid w:val="00B14AB8"/>
    <w:rsid w:val="00B26C3D"/>
    <w:rsid w:val="00B31B1F"/>
    <w:rsid w:val="00B627B1"/>
    <w:rsid w:val="00B753A2"/>
    <w:rsid w:val="00B90640"/>
    <w:rsid w:val="00B90B47"/>
    <w:rsid w:val="00B92ADD"/>
    <w:rsid w:val="00B9303C"/>
    <w:rsid w:val="00BB2180"/>
    <w:rsid w:val="00BD463F"/>
    <w:rsid w:val="00BE52C2"/>
    <w:rsid w:val="00C067BB"/>
    <w:rsid w:val="00C073D1"/>
    <w:rsid w:val="00C12C0B"/>
    <w:rsid w:val="00C13571"/>
    <w:rsid w:val="00C21BF4"/>
    <w:rsid w:val="00C324DF"/>
    <w:rsid w:val="00C33379"/>
    <w:rsid w:val="00C51BA5"/>
    <w:rsid w:val="00C56DD3"/>
    <w:rsid w:val="00C73640"/>
    <w:rsid w:val="00C77854"/>
    <w:rsid w:val="00C9449D"/>
    <w:rsid w:val="00CA6AD5"/>
    <w:rsid w:val="00CB0A2D"/>
    <w:rsid w:val="00CE1C55"/>
    <w:rsid w:val="00CE5FEE"/>
    <w:rsid w:val="00D11675"/>
    <w:rsid w:val="00D159F0"/>
    <w:rsid w:val="00D1698C"/>
    <w:rsid w:val="00D16F68"/>
    <w:rsid w:val="00D5235C"/>
    <w:rsid w:val="00D548C3"/>
    <w:rsid w:val="00D5683D"/>
    <w:rsid w:val="00D6364B"/>
    <w:rsid w:val="00D77061"/>
    <w:rsid w:val="00D864CA"/>
    <w:rsid w:val="00DA05F4"/>
    <w:rsid w:val="00DA3C03"/>
    <w:rsid w:val="00DA7F83"/>
    <w:rsid w:val="00DB0147"/>
    <w:rsid w:val="00DC26F4"/>
    <w:rsid w:val="00DD1FCA"/>
    <w:rsid w:val="00DE5981"/>
    <w:rsid w:val="00DF1831"/>
    <w:rsid w:val="00E152A7"/>
    <w:rsid w:val="00E43562"/>
    <w:rsid w:val="00E43D89"/>
    <w:rsid w:val="00E51409"/>
    <w:rsid w:val="00E5417F"/>
    <w:rsid w:val="00E55CE9"/>
    <w:rsid w:val="00E75237"/>
    <w:rsid w:val="00E85099"/>
    <w:rsid w:val="00E873B3"/>
    <w:rsid w:val="00E940F7"/>
    <w:rsid w:val="00EA3CAF"/>
    <w:rsid w:val="00EA6BC7"/>
    <w:rsid w:val="00EB2847"/>
    <w:rsid w:val="00EB7238"/>
    <w:rsid w:val="00ED3EF3"/>
    <w:rsid w:val="00EF3C51"/>
    <w:rsid w:val="00EF5E3C"/>
    <w:rsid w:val="00F001D3"/>
    <w:rsid w:val="00F150A3"/>
    <w:rsid w:val="00F23FE3"/>
    <w:rsid w:val="00F3588E"/>
    <w:rsid w:val="00F36D29"/>
    <w:rsid w:val="00F371C8"/>
    <w:rsid w:val="00F403D0"/>
    <w:rsid w:val="00F50AAE"/>
    <w:rsid w:val="00F52546"/>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A463F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6vP+yvbCH9KenTujm+M7epu6NDY=</ds:DigestValue>
    </ds:Reference>
  </ds:SignedInfo>
  <ds:SignatureValue>pKnrLCBcfD5oi3qHQ7dnaYfMBLKXgKxFTC/pZ5YN6H3AlCF0uB5xe8HbIiXTwFIuv2yMEvAXSloa9flVgKyFvVPTNSoBra1DwOGY0+PkH/51/QckEskyFXDSl3meUx8u7onBP9eohPB+pDI4EokKtq7EbRY+P3zPmJ3bWZ+sbj6+myjxu/oC8mVjYmlynGAA0HCMnbg677tQF+/lWkxfQbdIccSF4JWn8FJbahUY0DKqShlTKwA+ZZRuL3mIOeSPhq3f7xyhC0a5rweLg9KwG/h3RYsHUC36WP1GK9pwpj4z0Quk7QNlMqRKDth1/DyoERSsFiS1TZPEvZKHzlk1tw==</ds:SignatureValue>
  <ds:KeyInfo>
    <ds:KeyValue>
      <ds:RSAKeyValue>
        <ds:Modulus>wJEKt6w8yYJTfD3/3Q0bORn0veaU+ixe0v2gUhveYni8tqoRbMl+WBGu8mwt4NB5O+y+wnaEbFsu7yfPtlM3Jz7BSTselamup+blOhk6NkcUXoF5XEUx0XXnhLbRcPbwSLnYRY9mNUoSlUdvO+1nAghQ1nkElLlaujTui3jISFVsEXuYU9xUwPFVCeHARFN9qp4hYHN/bxOnYoYSqJ6+ej1SxaC2CtledTOj6596isWnVRlVVxc6r/nBz0dBKkwNgLP6TgY5jsmbTk7lZdC1Voqzy66YJ4YNLyWN2Ewh6K6yMj5OYOPVoOau3lo7gR0RnFFEr/Qnu4r/JC+HfcMk+Q==</ds:Modulus>
        <ds:Exponent>AQAB</ds:Exponent>
      </ds:RSAKeyValue>
    </ds:KeyValue>
    <ds:X509Data>
      <ds:X509Certificate>MIIHIzCCBgugAwIBAgIDGMIVMA0GCSqGSIb3DQEBCwUAMF8xCzAJBgNVBAYTAkNaMSwwKgYDVQQKDCPEjGVza8OhIHBvxaF0YSwgcy5wLiBbScSMIDQ3MTE0OTgzXTEiMCAGA1UEAxMZUG9zdFNpZ251bSBRdWFsaWZpZWQgQ0EgMjAeFw0xNDA0MjMwODEzMTFaFw0xNTA1MTMwODEzMTF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90NGzkZ9L3mlPosXtL9oFIb3mJ4vLaqEWzJflgRrvJsLeDQeTvsvsJ2hGxbLu8nz7ZTNyc+wUk7HpWprqfm5ToZOjZHFF6BeVxFMdF154S20XD28Ei52EWPZjVKEpVHbzvtZwIIUNZ5BJS5Wro07ot4yEhVbBF7mFPcVMDxVQnhwERTfaqeIWBzf28Tp2KGEqievno9UsWgtgrZXnUzo+ufeorFp1UZVVcXOq/5wc9HQSpMDYCz+k4GOY7Jm05O5WXQtVaKs8uumCeGDS8ljdhMIeiusjI+TmDj1aDmrt5aO4EdEZxRRK/0J7uK/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Rj6I1r2Rjv33eVLoHpiR1Dx6XWlZ7KO01TlmapKL26GLhOoQPyFC05PyFiLkRG5PbJBQpI1aXFXfpYFE927xf8rJbJt7tPryWibnJy+mI4ibVBqZZp6pMUVXIOXq6fNLeJ9LH/4FGvIqFg9xfrTtwsr8fJcS5SEVMBHRlwdP4nFV5fm1SY4guob1hu1o6Ob2kvTaIY9sRjWykIwyvB32P669debivnhJwq5hyvAU+YkE5jDyt8r/8GjjBJShlLEGJXkMqZ9yNgTOPM10HbNgkjKNq6NeEJMQkW7/qr+Z+9iJkkQMfc6kOTBhoRNoEh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GKcKLDFGIx523UbH+Q9U+1piJuo=</ds:DigestValue>
      </ds:Reference>
      <ds:Reference URI="/word/document.xml?ContentType=application/vnd.openxmlformats-officedocument.wordprocessingml.document.main+xml">
        <ds:DigestMethod Algorithm="http://www.w3.org/2000/09/xmldsig#sha1"/>
        <ds:DigestValue>LMLMGbtH1crc9/3xzNAkJGdJaBA=</ds:DigestValue>
      </ds:Reference>
      <ds:Reference URI="/word/endnotes.xml?ContentType=application/vnd.openxmlformats-officedocument.wordprocessingml.endnotes+xml">
        <ds:DigestMethod Algorithm="http://www.w3.org/2000/09/xmldsig#sha1"/>
        <ds:DigestValue>H0lZmbQI6w/cxYFNUiG/lwYZjko=</ds:DigestValue>
      </ds:Reference>
      <ds:Reference URI="/word/footer2.xml?ContentType=application/vnd.openxmlformats-officedocument.wordprocessingml.footer+xml">
        <ds:DigestMethod Algorithm="http://www.w3.org/2000/09/xmldsig#sha1"/>
        <ds:DigestValue>uEZN12Js/8ZMWk2XEYxhwSFgJC8=</ds:DigestValue>
      </ds:Reference>
      <ds:Reference URI="/word/styles.xml?ContentType=application/vnd.openxmlformats-officedocument.wordprocessingml.styles+xml">
        <ds:DigestMethod Algorithm="http://www.w3.org/2000/09/xmldsig#sha1"/>
        <ds:DigestValue>VOV2h/2QmYLduKGnBAjcQ0Ch2dc=</ds:DigestValue>
      </ds:Reference>
      <ds:Reference URI="/word/footnotes.xml?ContentType=application/vnd.openxmlformats-officedocument.wordprocessingml.footnotes+xml">
        <ds:DigestMethod Algorithm="http://www.w3.org/2000/09/xmldsig#sha1"/>
        <ds:DigestValue>yoN/wKFvJ5PLC+vJ8E/CHORHOcg=</ds:DigestValue>
      </ds:Reference>
      <ds:Reference URI="/word/footer1.xml?ContentType=application/vnd.openxmlformats-officedocument.wordprocessingml.footer+xml">
        <ds:DigestMethod Algorithm="http://www.w3.org/2000/09/xmldsig#sha1"/>
        <ds:DigestValue>7a4ucLht/RxS31sb77ZLCcwqQos=</ds:DigestValue>
      </ds:Reference>
      <ds:Reference URI="/word/numbering.xml?ContentType=application/vnd.openxmlformats-officedocument.wordprocessingml.numbering+xml">
        <ds:DigestMethod Algorithm="http://www.w3.org/2000/09/xmldsig#sha1"/>
        <ds:DigestValue>OO4qdfR2oPiErGi/RcQMXVEB5sI=</ds:DigestValue>
      </ds:Reference>
      <ds:Reference URI="/word/webSettings.xml?ContentType=application/vnd.openxmlformats-officedocument.wordprocessingml.webSettings+xml">
        <ds:DigestMethod Algorithm="http://www.w3.org/2000/09/xmldsig#sha1"/>
        <ds:DigestValue>O3JDI2CsWIAOTU5BG/V5Xbw/738=</ds:DigestValue>
      </ds:Reference>
      <ds:Reference URI="/word/header2.xml?ContentType=application/vnd.openxmlformats-officedocument.wordprocessingml.header+xml">
        <ds:DigestMethod Algorithm="http://www.w3.org/2000/09/xmldsig#sha1"/>
        <ds:DigestValue>M3xnX1mHMQgoMgK4hQdagSTELEY=</ds:DigestValue>
      </ds:Reference>
      <ds:Reference URI="/word/settings.xml?ContentType=application/vnd.openxmlformats-officedocument.wordprocessingml.settings+xml">
        <ds:DigestMethod Algorithm="http://www.w3.org/2000/09/xmldsig#sha1"/>
        <ds:DigestValue>LiaCD8iVNHgQAaU18tTtwIvebeA=</ds:DigestValue>
      </ds:Reference>
      <ds:Reference URI="/word/theme/theme1.xml?ContentType=application/vnd.openxmlformats-officedocument.theme+xml">
        <ds:DigestMethod Algorithm="http://www.w3.org/2000/09/xmldsig#sha1"/>
        <ds:DigestValue>KmUuhhfsCJy/qwJd7FevO1awH4k=</ds:DigestValue>
      </ds:Reference>
      <ds:Reference URI="/word/header1.xml?ContentType=application/vnd.openxmlformats-officedocument.wordprocessingml.header+xml">
        <ds:DigestMethod Algorithm="http://www.w3.org/2000/09/xmldsig#sha1"/>
        <ds:DigestValue>XcDuwSuN+/VwwVFO4cnY0cgK3Nc=</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N36JUj4hi7J1Lu3uWnrongV1lDs=</ds:DigestValue>
      </ds:Reference>
      <ds:Reference URI="/docProps/core.xml?ContentType=application/vnd.openxmlformats-package.core-properties+xml">
        <ds:DigestMethod Algorithm="http://www.w3.org/2000/09/xmldsig#sha1"/>
        <ds:DigestValue>DWH2gnXILrkO1bH76gFTbuuj3EY=</ds:DigestValue>
      </ds:Reference>
    </ds:Manifest>
    <ds:SignatureProperties>
      <ds:SignatureProperty Id="idSignatureTime" Target="#idSignature1">
        <SignatureTime xmlns="http://schemas.openxmlformats.org/package/2006/digital-signature">
          <Format>YYYY-MM-DDThh:mm:ss.sTZD</Format>
          <Value>2014-11-18T14:33:56.1Z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E9FC-C272-4A2B-B66E-6329A703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1925</Words>
  <Characters>11361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13260</CharactersWithSpaces>
  <SharedDoc>false</SharedDoc>
  <HLinks>
    <vt:vector size="6" baseType="variant">
      <vt:variant>
        <vt:i4>7077991</vt:i4>
      </vt:variant>
      <vt:variant>
        <vt:i4>0</vt:i4>
      </vt:variant>
      <vt:variant>
        <vt:i4>0</vt:i4>
      </vt:variant>
      <vt:variant>
        <vt:i4>5</vt:i4>
      </vt:variant>
      <vt:variant>
        <vt:lpwstr>http://www.as-po.cz/verejne-zakazky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5</cp:revision>
  <cp:lastPrinted>2014-11-13T11:37:00Z</cp:lastPrinted>
  <dcterms:created xsi:type="dcterms:W3CDTF">2014-11-11T09:25:00Z</dcterms:created>
  <dcterms:modified xsi:type="dcterms:W3CDTF">2014-11-13T14:38:00Z</dcterms:modified>
</cp:coreProperties>
</file>