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46593A" w:rsidP="0091704E">
            <w:pPr>
              <w:rPr>
                <w:sz w:val="24"/>
              </w:rPr>
            </w:pPr>
            <w:r>
              <w:rPr>
                <w:sz w:val="24"/>
              </w:rPr>
              <w:t xml:space="preserve">Ing. </w:t>
            </w:r>
            <w:r w:rsidR="0091704E">
              <w:rPr>
                <w:sz w:val="24"/>
              </w:rPr>
              <w:t xml:space="preserve">Roman </w:t>
            </w:r>
            <w:proofErr w:type="spellStart"/>
            <w:r w:rsidR="0091704E">
              <w:rPr>
                <w:sz w:val="24"/>
              </w:rPr>
              <w:t>Pščolka</w:t>
            </w:r>
            <w:proofErr w:type="spellEnd"/>
            <w:r>
              <w:rPr>
                <w:sz w:val="24"/>
              </w:rPr>
              <w:t>, tel.: 602</w:t>
            </w:r>
            <w:r w:rsidR="0091704E">
              <w:rPr>
                <w:sz w:val="24"/>
              </w:rPr>
              <w:t> 106 091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832040"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91704E">
              <w:rPr>
                <w:bCs/>
                <w:sz w:val="24"/>
                <w:highlight w:val="yellow"/>
              </w:rPr>
              <w:t>…………………………..</w:t>
            </w: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91704E">
            <w:pPr>
              <w:spacing w:before="120"/>
              <w:rPr>
                <w:sz w:val="24"/>
                <w:szCs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91704E">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Pr="006F1E6F" w:rsidRDefault="00722094" w:rsidP="00E869EB">
            <w:pPr>
              <w:rPr>
                <w:i/>
                <w:sz w:val="24"/>
              </w:rPr>
            </w:pPr>
            <w:r w:rsidRPr="006F1E6F">
              <w:rPr>
                <w:i/>
                <w:sz w:val="24"/>
              </w:rPr>
              <w:t>- jednat ve věcech smluvních:</w:t>
            </w:r>
          </w:p>
          <w:p w:rsidR="000649DF" w:rsidRPr="006F1E6F" w:rsidRDefault="000649DF" w:rsidP="00E869EB">
            <w:pPr>
              <w:rPr>
                <w:i/>
                <w:sz w:val="24"/>
              </w:rPr>
            </w:pPr>
            <w:r w:rsidRPr="006F1E6F">
              <w:rPr>
                <w:i/>
                <w:sz w:val="24"/>
              </w:rPr>
              <w:t xml:space="preserve">   email / tel.</w:t>
            </w:r>
          </w:p>
        </w:tc>
        <w:tc>
          <w:tcPr>
            <w:tcW w:w="6164" w:type="dxa"/>
            <w:shd w:val="clear" w:color="auto" w:fill="auto"/>
          </w:tcPr>
          <w:p w:rsidR="00722094" w:rsidRDefault="009C5B53" w:rsidP="000649DF">
            <w:pPr>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rsidR="000649DF" w:rsidRPr="009C5B53" w:rsidRDefault="000649DF" w:rsidP="000649DF">
            <w:pPr>
              <w:rPr>
                <w:sz w:val="24"/>
                <w:highlight w:val="yellow"/>
              </w:rPr>
            </w:pPr>
            <w:r w:rsidRPr="009C5B53">
              <w:rPr>
                <w:bCs/>
                <w:sz w:val="24"/>
                <w:highlight w:val="yellow"/>
              </w:rPr>
              <w:t>……</w:t>
            </w:r>
            <w:r>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Pr="006F1E6F" w:rsidRDefault="00722094" w:rsidP="00FD46EB">
            <w:pPr>
              <w:rPr>
                <w:i/>
                <w:sz w:val="24"/>
              </w:rPr>
            </w:pPr>
            <w:r w:rsidRPr="006F1E6F">
              <w:rPr>
                <w:i/>
                <w:sz w:val="24"/>
              </w:rPr>
              <w:t>- jednat ve věcech technických:</w:t>
            </w:r>
          </w:p>
          <w:p w:rsidR="000649DF" w:rsidRPr="006F1E6F" w:rsidRDefault="000649DF" w:rsidP="00FD46EB">
            <w:pPr>
              <w:rPr>
                <w:i/>
                <w:sz w:val="24"/>
              </w:rPr>
            </w:pPr>
            <w:r w:rsidRPr="006F1E6F">
              <w:rPr>
                <w:i/>
                <w:sz w:val="24"/>
              </w:rPr>
              <w:t xml:space="preserve">  </w:t>
            </w:r>
            <w:r w:rsidR="00EF7F1A" w:rsidRPr="006F1E6F">
              <w:rPr>
                <w:i/>
                <w:sz w:val="24"/>
              </w:rPr>
              <w:t xml:space="preserve"> </w:t>
            </w:r>
            <w:r w:rsidRPr="006F1E6F">
              <w:rPr>
                <w:i/>
                <w:sz w:val="24"/>
              </w:rPr>
              <w:t>email / tel.</w:t>
            </w:r>
          </w:p>
        </w:tc>
        <w:tc>
          <w:tcPr>
            <w:tcW w:w="6164" w:type="dxa"/>
            <w:shd w:val="clear" w:color="auto" w:fill="auto"/>
          </w:tcPr>
          <w:p w:rsidR="00722094" w:rsidRDefault="009C5B53" w:rsidP="000649DF">
            <w:pPr>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rsidR="000649DF" w:rsidRPr="009C5B53" w:rsidRDefault="000649DF" w:rsidP="000649DF">
            <w:pPr>
              <w:rPr>
                <w:sz w:val="24"/>
                <w:highlight w:val="yellow"/>
              </w:rPr>
            </w:pPr>
            <w:r w:rsidRPr="009C5B53">
              <w:rPr>
                <w:bCs/>
                <w:sz w:val="24"/>
                <w:highlight w:val="yellow"/>
              </w:rPr>
              <w:t>……</w:t>
            </w:r>
            <w:r>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0649DF">
            <w:pPr>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4B5467" w:rsidRPr="0093306C" w:rsidRDefault="004B5467" w:rsidP="004B5467">
      <w:pPr>
        <w:shd w:val="clear" w:color="00FFFF" w:fill="auto"/>
        <w:spacing w:beforeLines="20" w:before="48" w:after="120"/>
        <w:jc w:val="center"/>
        <w:rPr>
          <w:b/>
          <w:caps/>
          <w:sz w:val="24"/>
        </w:rPr>
      </w:pPr>
      <w:r w:rsidRPr="0093306C">
        <w:rPr>
          <w:b/>
          <w:caps/>
          <w:sz w:val="24"/>
        </w:rPr>
        <w:t>I. PŘEDMĚT DÍLA</w:t>
      </w:r>
    </w:p>
    <w:p w:rsidR="004B5467" w:rsidRDefault="004B5467" w:rsidP="004B5467">
      <w:pPr>
        <w:ind w:left="-284" w:firstLine="284"/>
        <w:jc w:val="both"/>
        <w:rPr>
          <w:sz w:val="24"/>
          <w:szCs w:val="24"/>
        </w:rPr>
      </w:pPr>
      <w:r w:rsidRPr="003A4CC7">
        <w:rPr>
          <w:sz w:val="24"/>
        </w:rPr>
        <w:t xml:space="preserve">Předmětem </w:t>
      </w:r>
      <w:r>
        <w:rPr>
          <w:sz w:val="24"/>
        </w:rPr>
        <w:t xml:space="preserve">této smlouvy je </w:t>
      </w:r>
      <w:r w:rsidRPr="006F4951">
        <w:rPr>
          <w:sz w:val="24"/>
          <w:szCs w:val="24"/>
        </w:rPr>
        <w:t xml:space="preserve">závazek zhotovitele zajistit pro objednatele </w:t>
      </w:r>
      <w:r>
        <w:rPr>
          <w:sz w:val="24"/>
          <w:szCs w:val="24"/>
        </w:rPr>
        <w:t>realizaci rekonstrukce sociálních zařízení a vstupní</w:t>
      </w:r>
      <w:r w:rsidR="00B11DC1">
        <w:rPr>
          <w:sz w:val="24"/>
          <w:szCs w:val="24"/>
        </w:rPr>
        <w:t>ho</w:t>
      </w:r>
      <w:r>
        <w:rPr>
          <w:sz w:val="24"/>
          <w:szCs w:val="24"/>
        </w:rPr>
        <w:t xml:space="preserve"> schodiště ve vojenském ubytovacím zařízení Dědina, Pilotů 217, 160 00 Praha 6 (dále jen „VUZ“).</w:t>
      </w:r>
    </w:p>
    <w:p w:rsidR="004B5467" w:rsidRPr="00E0516C" w:rsidRDefault="004B5467" w:rsidP="004B5467">
      <w:pPr>
        <w:jc w:val="both"/>
        <w:rPr>
          <w:sz w:val="24"/>
          <w:szCs w:val="24"/>
        </w:rPr>
      </w:pPr>
      <w:r>
        <w:rPr>
          <w:sz w:val="24"/>
          <w:szCs w:val="24"/>
        </w:rPr>
        <w:lastRenderedPageBreak/>
        <w:t>Dílo bude realizováno</w:t>
      </w:r>
      <w:r w:rsidRPr="00E0516C">
        <w:rPr>
          <w:sz w:val="24"/>
          <w:szCs w:val="24"/>
        </w:rPr>
        <w:t xml:space="preserve"> dle zpracované </w:t>
      </w:r>
      <w:r>
        <w:rPr>
          <w:sz w:val="24"/>
          <w:szCs w:val="24"/>
        </w:rPr>
        <w:t>projektové dokumentace, technické zprávy a dle soupisu stavebních prací a dodávek (příloha č. 2 této smlouvy o dílo).</w:t>
      </w:r>
    </w:p>
    <w:p w:rsidR="004B5467" w:rsidRDefault="004B5467" w:rsidP="004B5467">
      <w:pPr>
        <w:jc w:val="both"/>
        <w:rPr>
          <w:sz w:val="24"/>
          <w:szCs w:val="24"/>
        </w:rPr>
      </w:pPr>
    </w:p>
    <w:p w:rsidR="004B5467" w:rsidRPr="00D06943" w:rsidRDefault="004B5467" w:rsidP="004B5467">
      <w:pPr>
        <w:jc w:val="both"/>
        <w:rPr>
          <w:sz w:val="24"/>
        </w:rPr>
      </w:pPr>
      <w:r w:rsidRPr="00D06943">
        <w:rPr>
          <w:sz w:val="24"/>
        </w:rPr>
        <w:t xml:space="preserve">Rekonstrukce sociálních zařízení muži a ženy v 1. </w:t>
      </w:r>
      <w:proofErr w:type="spellStart"/>
      <w:proofErr w:type="gramStart"/>
      <w:r w:rsidRPr="00D06943">
        <w:rPr>
          <w:sz w:val="24"/>
        </w:rPr>
        <w:t>n.p</w:t>
      </w:r>
      <w:proofErr w:type="spellEnd"/>
      <w:r w:rsidRPr="00D06943">
        <w:rPr>
          <w:sz w:val="24"/>
        </w:rPr>
        <w:t>.</w:t>
      </w:r>
      <w:proofErr w:type="gramEnd"/>
      <w:r w:rsidRPr="00D06943">
        <w:rPr>
          <w:sz w:val="24"/>
        </w:rPr>
        <w:t xml:space="preserve"> části Dědina sever (tranzitní ubytování), rekonstrukce WC v 1. </w:t>
      </w:r>
      <w:proofErr w:type="spellStart"/>
      <w:r w:rsidRPr="00D06943">
        <w:rPr>
          <w:sz w:val="24"/>
        </w:rPr>
        <w:t>n.p</w:t>
      </w:r>
      <w:proofErr w:type="spellEnd"/>
      <w:r w:rsidRPr="00D06943">
        <w:rPr>
          <w:sz w:val="24"/>
        </w:rPr>
        <w:t>. části Dědina jih a rekonstrukce schodiště s přilehlými plochami do hlavního vchodu do VUZ Dědina</w:t>
      </w:r>
      <w:r>
        <w:rPr>
          <w:sz w:val="24"/>
        </w:rPr>
        <w:t>.</w:t>
      </w:r>
    </w:p>
    <w:p w:rsidR="004B5467" w:rsidRDefault="004B5467" w:rsidP="004B5467">
      <w:pPr>
        <w:ind w:left="360"/>
        <w:jc w:val="both"/>
        <w:rPr>
          <w:sz w:val="24"/>
        </w:rPr>
      </w:pPr>
    </w:p>
    <w:p w:rsidR="004B5467" w:rsidRPr="00D06943" w:rsidRDefault="004B5467" w:rsidP="004B5467">
      <w:pPr>
        <w:jc w:val="both"/>
        <w:rPr>
          <w:sz w:val="24"/>
        </w:rPr>
      </w:pPr>
      <w:r w:rsidRPr="00D06943">
        <w:rPr>
          <w:sz w:val="24"/>
        </w:rPr>
        <w:t>Přehled základních prací navržených tímto projektem:</w:t>
      </w:r>
    </w:p>
    <w:p w:rsidR="004B5467" w:rsidRPr="00D06943" w:rsidRDefault="004B5467" w:rsidP="004B5467">
      <w:pPr>
        <w:numPr>
          <w:ilvl w:val="0"/>
          <w:numId w:val="47"/>
        </w:numPr>
        <w:jc w:val="both"/>
        <w:rPr>
          <w:sz w:val="24"/>
        </w:rPr>
      </w:pPr>
      <w:r w:rsidRPr="00D06943">
        <w:rPr>
          <w:sz w:val="24"/>
        </w:rPr>
        <w:t>výměna rozvodů vody a odpadů,</w:t>
      </w:r>
    </w:p>
    <w:p w:rsidR="004B5467" w:rsidRPr="00D06943" w:rsidRDefault="004B5467" w:rsidP="004B5467">
      <w:pPr>
        <w:numPr>
          <w:ilvl w:val="0"/>
          <w:numId w:val="47"/>
        </w:numPr>
        <w:jc w:val="both"/>
        <w:rPr>
          <w:sz w:val="24"/>
        </w:rPr>
      </w:pPr>
      <w:r w:rsidRPr="00D06943">
        <w:rPr>
          <w:sz w:val="24"/>
        </w:rPr>
        <w:t>výměna pisoárů s automatickým splachováním, umývadel a vodovodních pákových baterií, doplnění elektrických vysoušečů rukou</w:t>
      </w:r>
      <w:r>
        <w:rPr>
          <w:sz w:val="24"/>
        </w:rPr>
        <w:t>,</w:t>
      </w:r>
    </w:p>
    <w:p w:rsidR="004B5467" w:rsidRPr="00D06943" w:rsidRDefault="004B5467" w:rsidP="004B5467">
      <w:pPr>
        <w:numPr>
          <w:ilvl w:val="0"/>
          <w:numId w:val="47"/>
        </w:numPr>
        <w:jc w:val="both"/>
        <w:rPr>
          <w:sz w:val="24"/>
        </w:rPr>
      </w:pPr>
      <w:r w:rsidRPr="00D06943">
        <w:rPr>
          <w:sz w:val="24"/>
        </w:rPr>
        <w:t>výměna sprchových koutů včetně vybavení</w:t>
      </w:r>
      <w:r>
        <w:rPr>
          <w:sz w:val="24"/>
        </w:rPr>
        <w:t>,</w:t>
      </w:r>
    </w:p>
    <w:p w:rsidR="004B5467" w:rsidRPr="00D06943" w:rsidRDefault="004B5467" w:rsidP="004B5467">
      <w:pPr>
        <w:numPr>
          <w:ilvl w:val="0"/>
          <w:numId w:val="47"/>
        </w:numPr>
        <w:jc w:val="both"/>
        <w:rPr>
          <w:sz w:val="24"/>
        </w:rPr>
      </w:pPr>
      <w:r w:rsidRPr="00D06943">
        <w:rPr>
          <w:sz w:val="24"/>
        </w:rPr>
        <w:t>stavební úprava kabinek a výměna klozetů</w:t>
      </w:r>
      <w:r>
        <w:rPr>
          <w:sz w:val="24"/>
        </w:rPr>
        <w:t>,</w:t>
      </w:r>
    </w:p>
    <w:p w:rsidR="004B5467" w:rsidRPr="00D06943" w:rsidRDefault="004B5467" w:rsidP="004B5467">
      <w:pPr>
        <w:numPr>
          <w:ilvl w:val="0"/>
          <w:numId w:val="47"/>
        </w:numPr>
        <w:jc w:val="both"/>
        <w:rPr>
          <w:sz w:val="24"/>
        </w:rPr>
      </w:pPr>
      <w:r w:rsidRPr="00D06943">
        <w:rPr>
          <w:sz w:val="24"/>
        </w:rPr>
        <w:t>výměna dveří včetně zárubní, výměna oken</w:t>
      </w:r>
      <w:r>
        <w:rPr>
          <w:sz w:val="24"/>
        </w:rPr>
        <w:t>,</w:t>
      </w:r>
    </w:p>
    <w:p w:rsidR="004B5467" w:rsidRPr="00D06943" w:rsidRDefault="004B5467" w:rsidP="004B5467">
      <w:pPr>
        <w:numPr>
          <w:ilvl w:val="0"/>
          <w:numId w:val="47"/>
        </w:numPr>
        <w:jc w:val="both"/>
        <w:rPr>
          <w:sz w:val="24"/>
        </w:rPr>
      </w:pPr>
      <w:r w:rsidRPr="00D06943">
        <w:rPr>
          <w:sz w:val="24"/>
        </w:rPr>
        <w:t>výměna rozvodů elektrické energie včetně výměny a doplnění vypínačů a zásuvek výměna osvětlovacích těles za úsporná (LED) svítidla</w:t>
      </w:r>
      <w:r>
        <w:rPr>
          <w:sz w:val="24"/>
        </w:rPr>
        <w:t>,</w:t>
      </w:r>
    </w:p>
    <w:p w:rsidR="004B5467" w:rsidRPr="00D06943" w:rsidRDefault="004B5467" w:rsidP="004B5467">
      <w:pPr>
        <w:numPr>
          <w:ilvl w:val="0"/>
          <w:numId w:val="47"/>
        </w:numPr>
        <w:jc w:val="both"/>
        <w:rPr>
          <w:sz w:val="24"/>
        </w:rPr>
      </w:pPr>
      <w:r w:rsidRPr="00D06943">
        <w:rPr>
          <w:sz w:val="24"/>
        </w:rPr>
        <w:t>výměna keramické dlažby a obkladů do výše 2 m</w:t>
      </w:r>
      <w:r>
        <w:rPr>
          <w:sz w:val="24"/>
        </w:rPr>
        <w:t>,</w:t>
      </w:r>
    </w:p>
    <w:p w:rsidR="004B5467" w:rsidRPr="00D06943" w:rsidRDefault="004B5467" w:rsidP="004B5467">
      <w:pPr>
        <w:numPr>
          <w:ilvl w:val="0"/>
          <w:numId w:val="47"/>
        </w:numPr>
        <w:jc w:val="both"/>
        <w:rPr>
          <w:sz w:val="24"/>
        </w:rPr>
      </w:pPr>
      <w:r w:rsidRPr="00D06943">
        <w:rPr>
          <w:sz w:val="24"/>
        </w:rPr>
        <w:t>oprava štukových omítek a výmalba</w:t>
      </w:r>
      <w:r>
        <w:rPr>
          <w:sz w:val="24"/>
        </w:rPr>
        <w:t>,</w:t>
      </w:r>
    </w:p>
    <w:p w:rsidR="004B5467" w:rsidRPr="00D06943" w:rsidRDefault="004B5467" w:rsidP="004B5467">
      <w:pPr>
        <w:numPr>
          <w:ilvl w:val="0"/>
          <w:numId w:val="47"/>
        </w:numPr>
        <w:jc w:val="both"/>
        <w:rPr>
          <w:sz w:val="24"/>
        </w:rPr>
      </w:pPr>
      <w:r w:rsidRPr="00D06943">
        <w:rPr>
          <w:sz w:val="24"/>
        </w:rPr>
        <w:t>úprava armatur rozvodů topení a nátěr k</w:t>
      </w:r>
      <w:r>
        <w:rPr>
          <w:sz w:val="24"/>
        </w:rPr>
        <w:t>ovových konstrukcí (zárubně, po</w:t>
      </w:r>
      <w:r w:rsidRPr="00D06943">
        <w:rPr>
          <w:sz w:val="24"/>
        </w:rPr>
        <w:t>t</w:t>
      </w:r>
      <w:r>
        <w:rPr>
          <w:sz w:val="24"/>
        </w:rPr>
        <w:t>r</w:t>
      </w:r>
      <w:r w:rsidRPr="00D06943">
        <w:rPr>
          <w:sz w:val="24"/>
        </w:rPr>
        <w:t>ubí atd.)</w:t>
      </w:r>
      <w:r>
        <w:rPr>
          <w:sz w:val="24"/>
        </w:rPr>
        <w:t>,</w:t>
      </w:r>
    </w:p>
    <w:p w:rsidR="004B5467" w:rsidRPr="00D06943" w:rsidRDefault="004B5467" w:rsidP="004B5467">
      <w:pPr>
        <w:numPr>
          <w:ilvl w:val="0"/>
          <w:numId w:val="47"/>
        </w:numPr>
        <w:jc w:val="both"/>
        <w:rPr>
          <w:sz w:val="24"/>
        </w:rPr>
      </w:pPr>
      <w:r w:rsidRPr="00D06943">
        <w:rPr>
          <w:sz w:val="24"/>
        </w:rPr>
        <w:t>úprava a zakrytí vzduchotechniky</w:t>
      </w:r>
      <w:r>
        <w:rPr>
          <w:sz w:val="24"/>
        </w:rPr>
        <w:t>,</w:t>
      </w:r>
    </w:p>
    <w:p w:rsidR="004B5467" w:rsidRDefault="004B5467" w:rsidP="004B5467">
      <w:pPr>
        <w:numPr>
          <w:ilvl w:val="0"/>
          <w:numId w:val="47"/>
        </w:numPr>
        <w:jc w:val="both"/>
        <w:rPr>
          <w:sz w:val="24"/>
        </w:rPr>
      </w:pPr>
      <w:r w:rsidRPr="00D06943">
        <w:rPr>
          <w:sz w:val="24"/>
        </w:rPr>
        <w:t>rekonstrukce schodiště s přilehlými plochami do hlavního vchodu do VUZ Dědina</w:t>
      </w:r>
      <w:r>
        <w:rPr>
          <w:sz w:val="24"/>
        </w:rPr>
        <w:t>.</w:t>
      </w:r>
    </w:p>
    <w:p w:rsidR="004B5467" w:rsidRPr="008D2B97" w:rsidRDefault="004B5467" w:rsidP="004B5467">
      <w:pPr>
        <w:numPr>
          <w:ilvl w:val="0"/>
          <w:numId w:val="47"/>
        </w:numPr>
        <w:jc w:val="both"/>
        <w:rPr>
          <w:sz w:val="24"/>
        </w:rPr>
      </w:pPr>
      <w:r w:rsidRPr="008D2B97">
        <w:rPr>
          <w:sz w:val="24"/>
        </w:rPr>
        <w:t>Součásti realizace díla je průběžný a závěrečný úklid, odvoz a ekologická likvidace demontovaného materiálu včetně uložení na skládku, doklad o likvidaci odpadu.</w:t>
      </w:r>
    </w:p>
    <w:p w:rsidR="008D2B97" w:rsidRPr="006F1E6F" w:rsidRDefault="008D2B97" w:rsidP="008D2B97">
      <w:pPr>
        <w:spacing w:before="120"/>
        <w:jc w:val="both"/>
        <w:rPr>
          <w:sz w:val="24"/>
          <w:szCs w:val="24"/>
        </w:rPr>
      </w:pPr>
      <w:r w:rsidRPr="006F1E6F">
        <w:rPr>
          <w:sz w:val="24"/>
          <w:szCs w:val="24"/>
        </w:rPr>
        <w:t xml:space="preserve">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w:t>
      </w:r>
      <w:r w:rsidRPr="006F1E6F">
        <w:rPr>
          <w:sz w:val="24"/>
          <w:szCs w:val="24"/>
        </w:rPr>
        <w:br/>
        <w:t>a zřetelně znám výrobce dodávaného výrobku či materiálu.</w:t>
      </w:r>
    </w:p>
    <w:p w:rsidR="004B5467" w:rsidRDefault="004B5467" w:rsidP="004B5467">
      <w:pPr>
        <w:shd w:val="clear" w:color="00FFFF" w:fill="auto"/>
        <w:spacing w:beforeLines="20" w:before="48" w:after="120"/>
        <w:jc w:val="both"/>
        <w:rPr>
          <w:bCs/>
          <w:iCs/>
          <w:sz w:val="24"/>
          <w:szCs w:val="24"/>
        </w:rPr>
      </w:pPr>
      <w:r>
        <w:rPr>
          <w:bCs/>
          <w:iCs/>
          <w:sz w:val="24"/>
          <w:szCs w:val="24"/>
        </w:rPr>
        <w:t xml:space="preserve">Soupis stavebních prací a dodávek je nedílnou přílohou č. 2 </w:t>
      </w:r>
      <w:proofErr w:type="gramStart"/>
      <w:r>
        <w:rPr>
          <w:bCs/>
          <w:iCs/>
          <w:sz w:val="24"/>
          <w:szCs w:val="24"/>
        </w:rPr>
        <w:t>této</w:t>
      </w:r>
      <w:proofErr w:type="gramEnd"/>
      <w:r>
        <w:rPr>
          <w:bCs/>
          <w:iCs/>
          <w:sz w:val="24"/>
          <w:szCs w:val="24"/>
        </w:rPr>
        <w:t xml:space="preserve"> smlouvy.</w:t>
      </w:r>
    </w:p>
    <w:p w:rsidR="004B5467" w:rsidRPr="00C80DC9" w:rsidRDefault="004B5467" w:rsidP="004B5467">
      <w:pPr>
        <w:spacing w:beforeLines="20" w:before="48"/>
        <w:ind w:firstLine="720"/>
        <w:jc w:val="both"/>
        <w:rPr>
          <w:color w:val="FF0000"/>
          <w:sz w:val="24"/>
          <w:szCs w:val="24"/>
        </w:rPr>
      </w:pPr>
    </w:p>
    <w:p w:rsidR="004B5467" w:rsidRPr="00421634" w:rsidRDefault="004B5467" w:rsidP="004B5467">
      <w:pPr>
        <w:shd w:val="clear" w:color="00FFFF" w:fill="auto"/>
        <w:spacing w:beforeLines="20" w:before="48" w:after="120"/>
        <w:jc w:val="center"/>
        <w:rPr>
          <w:b/>
          <w:sz w:val="24"/>
        </w:rPr>
      </w:pPr>
      <w:r w:rsidRPr="00421634">
        <w:rPr>
          <w:b/>
          <w:caps/>
          <w:sz w:val="24"/>
          <w:szCs w:val="24"/>
        </w:rPr>
        <w:t>II. Termín</w:t>
      </w:r>
      <w:r w:rsidRPr="00421634">
        <w:rPr>
          <w:b/>
          <w:caps/>
          <w:sz w:val="24"/>
        </w:rPr>
        <w:t xml:space="preserve"> a místo</w:t>
      </w:r>
      <w:r w:rsidRPr="00421634">
        <w:rPr>
          <w:b/>
          <w:sz w:val="24"/>
        </w:rPr>
        <w:t xml:space="preserve"> PLNĚNÍ</w:t>
      </w:r>
    </w:p>
    <w:p w:rsidR="004B5467" w:rsidRDefault="004B5467" w:rsidP="004B5467">
      <w:pPr>
        <w:rPr>
          <w:b/>
          <w:sz w:val="24"/>
          <w:szCs w:val="24"/>
        </w:rPr>
      </w:pPr>
    </w:p>
    <w:p w:rsidR="004B5467" w:rsidRPr="005F738E" w:rsidRDefault="004B5467" w:rsidP="004B5467">
      <w:pPr>
        <w:pStyle w:val="Zkladntextodsazen"/>
        <w:tabs>
          <w:tab w:val="right" w:pos="9071"/>
        </w:tabs>
        <w:ind w:left="0"/>
      </w:pPr>
      <w:r>
        <w:t>Termín zahájení plnění je</w:t>
      </w:r>
      <w:r w:rsidRPr="001E7404">
        <w:t xml:space="preserve">: </w:t>
      </w:r>
      <w:r>
        <w:tab/>
        <w:t>dle článku 1</w:t>
      </w:r>
      <w:r w:rsidR="00B11DC1">
        <w:t>3</w:t>
      </w:r>
      <w:r>
        <w:t xml:space="preserve">.2 této </w:t>
      </w:r>
      <w:proofErr w:type="spellStart"/>
      <w:r>
        <w:t>SoD</w:t>
      </w:r>
      <w:proofErr w:type="spellEnd"/>
      <w:r>
        <w:t xml:space="preserve"> </w:t>
      </w:r>
    </w:p>
    <w:p w:rsidR="004B5467" w:rsidRDefault="004B5467" w:rsidP="004B5467">
      <w:pPr>
        <w:pStyle w:val="Zkladntextodsazen"/>
        <w:tabs>
          <w:tab w:val="right" w:pos="9071"/>
        </w:tabs>
        <w:ind w:left="0"/>
      </w:pPr>
      <w:r w:rsidRPr="005F738E">
        <w:t xml:space="preserve">Termín </w:t>
      </w:r>
      <w:r>
        <w:t>dokončení a předání díla</w:t>
      </w:r>
      <w:r w:rsidRPr="005F738E">
        <w:t>:</w:t>
      </w:r>
      <w:r>
        <w:tab/>
      </w:r>
      <w:r w:rsidR="00230D5C">
        <w:t xml:space="preserve">do </w:t>
      </w:r>
      <w:r w:rsidR="0087517A">
        <w:t>30</w:t>
      </w:r>
      <w:bookmarkStart w:id="0" w:name="_GoBack"/>
      <w:bookmarkEnd w:id="0"/>
      <w:r>
        <w:t>. června 2017</w:t>
      </w:r>
    </w:p>
    <w:p w:rsidR="004B5467" w:rsidRPr="003015EC" w:rsidRDefault="004B5467" w:rsidP="004B5467">
      <w:pPr>
        <w:jc w:val="both"/>
        <w:rPr>
          <w:bCs/>
          <w:sz w:val="24"/>
          <w:szCs w:val="24"/>
        </w:rPr>
      </w:pPr>
    </w:p>
    <w:p w:rsidR="004B5467" w:rsidRDefault="004B5467" w:rsidP="004B5467">
      <w:pPr>
        <w:tabs>
          <w:tab w:val="right" w:pos="9071"/>
        </w:tabs>
        <w:jc w:val="both"/>
        <w:rPr>
          <w:bCs/>
          <w:color w:val="000000"/>
          <w:sz w:val="24"/>
          <w:szCs w:val="24"/>
        </w:rPr>
      </w:pPr>
      <w:r w:rsidRPr="003015EC">
        <w:rPr>
          <w:bCs/>
          <w:color w:val="000000"/>
          <w:sz w:val="24"/>
          <w:szCs w:val="24"/>
        </w:rPr>
        <w:t xml:space="preserve">Místo plnění díla: </w:t>
      </w:r>
      <w:r>
        <w:rPr>
          <w:bCs/>
          <w:color w:val="000000"/>
          <w:sz w:val="24"/>
          <w:szCs w:val="24"/>
        </w:rPr>
        <w:tab/>
        <w:t>VUZ Dědina, Pilotů 217, 160 00 Praha 6</w:t>
      </w:r>
    </w:p>
    <w:p w:rsidR="004B5467" w:rsidRDefault="004B5467" w:rsidP="004B5467">
      <w:pPr>
        <w:tabs>
          <w:tab w:val="right" w:pos="9071"/>
        </w:tabs>
        <w:jc w:val="both"/>
        <w:rPr>
          <w:bCs/>
          <w:color w:val="000000"/>
          <w:sz w:val="24"/>
          <w:szCs w:val="24"/>
        </w:rPr>
      </w:pPr>
      <w:r>
        <w:rPr>
          <w:bCs/>
          <w:color w:val="000000"/>
          <w:sz w:val="24"/>
          <w:szCs w:val="24"/>
        </w:rPr>
        <w:tab/>
        <w:t>GPS 50.1250714N, 14.5325481E</w:t>
      </w:r>
    </w:p>
    <w:p w:rsidR="0046593A" w:rsidRPr="003015EC" w:rsidRDefault="0046593A" w:rsidP="0046593A">
      <w:pPr>
        <w:jc w:val="both"/>
        <w:rPr>
          <w:bCs/>
          <w:color w:val="000000"/>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5F738E">
        <w:rPr>
          <w:sz w:val="24"/>
          <w:highlight w:val="yellow"/>
        </w:rPr>
        <w:t>………….</w:t>
      </w:r>
      <w:r w:rsidR="009C5B53" w:rsidRPr="009C5B53">
        <w:rPr>
          <w:sz w:val="24"/>
          <w:highlight w:val="yellow"/>
        </w:rPr>
        <w:t>………</w:t>
      </w:r>
      <w:proofErr w:type="gramStart"/>
      <w:r w:rsidR="009C5B53" w:rsidRPr="009C5B53">
        <w:rPr>
          <w:sz w:val="24"/>
          <w:highlight w:val="yellow"/>
        </w:rPr>
        <w:t>….</w:t>
      </w:r>
      <w:r w:rsidR="005F738E">
        <w:rPr>
          <w:sz w:val="24"/>
        </w:rPr>
        <w:t>korun</w:t>
      </w:r>
      <w:proofErr w:type="gramEnd"/>
      <w:r w:rsidR="005F738E">
        <w:rPr>
          <w:sz w:val="24"/>
        </w:rPr>
        <w:t xml:space="preserve"> českých</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4B5467" w:rsidRDefault="004B5467" w:rsidP="004B5467">
      <w:pPr>
        <w:spacing w:beforeLines="20" w:before="48" w:after="120"/>
        <w:jc w:val="center"/>
        <w:rPr>
          <w:b/>
          <w:caps/>
          <w:sz w:val="24"/>
        </w:rPr>
      </w:pPr>
      <w:r w:rsidRPr="00421634">
        <w:rPr>
          <w:b/>
          <w:caps/>
          <w:sz w:val="24"/>
        </w:rPr>
        <w:lastRenderedPageBreak/>
        <w:t>IV. platební a fakturační podmínky</w:t>
      </w:r>
    </w:p>
    <w:p w:rsidR="004B5467" w:rsidRPr="003B6F68" w:rsidRDefault="004B5467" w:rsidP="004B5467">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4B5467" w:rsidRPr="008D2B97" w:rsidRDefault="004B5467" w:rsidP="004B5467">
      <w:pPr>
        <w:pStyle w:val="Zkladntext"/>
        <w:numPr>
          <w:ilvl w:val="0"/>
          <w:numId w:val="30"/>
        </w:numPr>
        <w:jc w:val="both"/>
        <w:rPr>
          <w:bCs/>
        </w:rPr>
      </w:pPr>
      <w:r w:rsidRPr="003B6F68">
        <w:rPr>
          <w:rFonts w:ascii="Times New Roman" w:hAnsi="Times New Roman"/>
          <w:b w:val="0"/>
          <w:i w:val="0"/>
        </w:rPr>
        <w:t xml:space="preserve">Objednatel se zavazuje </w:t>
      </w:r>
      <w:r>
        <w:rPr>
          <w:rFonts w:ascii="Times New Roman" w:hAnsi="Times New Roman"/>
          <w:b w:val="0"/>
          <w:i w:val="0"/>
        </w:rPr>
        <w:t>u</w:t>
      </w:r>
      <w:r w:rsidRPr="003B6F68">
        <w:rPr>
          <w:rFonts w:ascii="Times New Roman" w:hAnsi="Times New Roman"/>
          <w:b w:val="0"/>
          <w:i w:val="0"/>
        </w:rPr>
        <w:t>hradit cenu díla na základě daň</w:t>
      </w:r>
      <w:r>
        <w:rPr>
          <w:rFonts w:ascii="Times New Roman" w:hAnsi="Times New Roman"/>
          <w:b w:val="0"/>
          <w:i w:val="0"/>
        </w:rPr>
        <w:t>ového</w:t>
      </w:r>
      <w:r w:rsidRPr="00AA6FD3">
        <w:rPr>
          <w:rFonts w:ascii="Times New Roman" w:hAnsi="Times New Roman"/>
          <w:b w:val="0"/>
          <w:i w:val="0"/>
        </w:rPr>
        <w:t xml:space="preserve"> doklad</w:t>
      </w:r>
      <w:r>
        <w:rPr>
          <w:rFonts w:ascii="Times New Roman" w:hAnsi="Times New Roman"/>
          <w:b w:val="0"/>
          <w:i w:val="0"/>
        </w:rPr>
        <w:t>u, jež bude vystaven</w:t>
      </w:r>
      <w:r w:rsidRPr="00AA6FD3">
        <w:rPr>
          <w:rFonts w:ascii="Times New Roman" w:hAnsi="Times New Roman"/>
          <w:b w:val="0"/>
          <w:i w:val="0"/>
        </w:rPr>
        <w:t xml:space="preserve"> v souladu s </w:t>
      </w:r>
      <w:proofErr w:type="spellStart"/>
      <w:r w:rsidRPr="00AA6FD3">
        <w:rPr>
          <w:rFonts w:ascii="Times New Roman" w:hAnsi="Times New Roman"/>
          <w:b w:val="0"/>
          <w:i w:val="0"/>
        </w:rPr>
        <w:t>ust</w:t>
      </w:r>
      <w:proofErr w:type="spellEnd"/>
      <w:r w:rsidRPr="00AA6FD3">
        <w:rPr>
          <w:rFonts w:ascii="Times New Roman" w:hAnsi="Times New Roman"/>
          <w:b w:val="0"/>
          <w:i w:val="0"/>
        </w:rPr>
        <w:t xml:space="preserve">. § 11 odst. 1 zák. č. 563/1991 Sb., v platném znění, </w:t>
      </w:r>
      <w:r w:rsidRPr="00AA6FD3">
        <w:rPr>
          <w:rFonts w:ascii="Times New Roman" w:hAnsi="Times New Roman"/>
          <w:b w:val="0"/>
          <w:i w:val="0"/>
        </w:rPr>
        <w:br/>
        <w:t xml:space="preserve">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AA6FD3">
        <w:rPr>
          <w:rFonts w:ascii="Times New Roman" w:hAnsi="Times New Roman"/>
          <w:b w:val="0"/>
          <w:bCs/>
          <w:i w:val="0"/>
        </w:rPr>
        <w:t>§ 92a zákona.</w:t>
      </w:r>
    </w:p>
    <w:p w:rsidR="00EF7F1A" w:rsidRPr="006F1E6F" w:rsidRDefault="00EF7F1A" w:rsidP="00EF7F1A">
      <w:pPr>
        <w:pStyle w:val="Odstavecseseznamem"/>
        <w:numPr>
          <w:ilvl w:val="0"/>
          <w:numId w:val="30"/>
        </w:numPr>
        <w:spacing w:before="120" w:after="0" w:line="240" w:lineRule="auto"/>
        <w:jc w:val="both"/>
        <w:rPr>
          <w:rFonts w:ascii="Times New Roman" w:hAnsi="Times New Roman"/>
          <w:sz w:val="24"/>
          <w:szCs w:val="20"/>
        </w:rPr>
      </w:pPr>
      <w:r w:rsidRPr="006F1E6F">
        <w:rPr>
          <w:rFonts w:ascii="Times New Roman" w:hAnsi="Times New Roman"/>
          <w:sz w:val="24"/>
          <w:szCs w:val="20"/>
        </w:rPr>
        <w:t>Fakturace bude provedena jednou fakturou do výše 100 % ceny díla na základě soupisu provedených prací potvrzených zástupci objednatele. Z faktury bude pozastavena částka ve výši 10% z ceny bez DPH. Pozastávka ve výši 10% bude uvolněna po odstranění případných všech vad a nedodělků na základě žádosti zhotovitele.</w:t>
      </w:r>
    </w:p>
    <w:p w:rsidR="008D2B97" w:rsidRPr="006F1E6F" w:rsidRDefault="008D2B97" w:rsidP="000649DF">
      <w:pPr>
        <w:pStyle w:val="Odstavecseseznamem"/>
        <w:numPr>
          <w:ilvl w:val="0"/>
          <w:numId w:val="30"/>
        </w:numPr>
        <w:spacing w:before="120" w:after="0" w:line="240" w:lineRule="auto"/>
        <w:jc w:val="both"/>
        <w:rPr>
          <w:rFonts w:ascii="Times New Roman" w:hAnsi="Times New Roman"/>
          <w:bCs/>
          <w:sz w:val="24"/>
          <w:szCs w:val="20"/>
        </w:rPr>
      </w:pPr>
      <w:r w:rsidRPr="006F1E6F">
        <w:rPr>
          <w:rFonts w:ascii="Times New Roman" w:hAnsi="Times New Roman"/>
          <w:bCs/>
          <w:sz w:val="24"/>
          <w:szCs w:val="20"/>
        </w:rPr>
        <w:t xml:space="preserve">Lhůta splatnosti faktury je 30 dnů od doručení faktury do sídla objednatele. V případě, že zhotovitel uvede na faktuře den splatnosti, který nebude odpovídat podmínce </w:t>
      </w:r>
      <w:proofErr w:type="gramStart"/>
      <w:r w:rsidRPr="006F1E6F">
        <w:rPr>
          <w:rFonts w:ascii="Times New Roman" w:hAnsi="Times New Roman"/>
          <w:bCs/>
          <w:sz w:val="24"/>
          <w:szCs w:val="20"/>
        </w:rPr>
        <w:t>30-ti</w:t>
      </w:r>
      <w:proofErr w:type="gramEnd"/>
      <w:r w:rsidRPr="006F1E6F">
        <w:rPr>
          <w:rFonts w:ascii="Times New Roman" w:hAnsi="Times New Roman"/>
          <w:bCs/>
          <w:sz w:val="24"/>
          <w:szCs w:val="20"/>
        </w:rPr>
        <w:t xml:space="preserve"> denní lhůty po doručení do sídla objednatele, je objednatel oprávněn takovouto fakturu vrátit zpět zhotoviteli jako neoprávněnou.</w:t>
      </w:r>
    </w:p>
    <w:p w:rsidR="008D2B97" w:rsidRPr="006F1E6F" w:rsidRDefault="008D2B97" w:rsidP="000649DF">
      <w:pPr>
        <w:pStyle w:val="Zkladntext"/>
        <w:numPr>
          <w:ilvl w:val="0"/>
          <w:numId w:val="30"/>
        </w:numPr>
        <w:jc w:val="both"/>
      </w:pPr>
      <w:r w:rsidRPr="006F1E6F">
        <w:rPr>
          <w:rFonts w:ascii="Times New Roman" w:hAnsi="Times New Roman"/>
          <w:b w:val="0"/>
          <w:i w:val="0"/>
        </w:rPr>
        <w:t>Dnem uskutečnění zdanitelného plnění je den podpisu soupisu provedených prací. Objem skutečně provedených prací potvrdí smluvní strany ve zjišťovacím protokolu, jehož součástí bude soupis skutečně provedených prací vystavený z</w:t>
      </w:r>
      <w:r w:rsidR="000649DF" w:rsidRPr="006F1E6F">
        <w:rPr>
          <w:rFonts w:ascii="Times New Roman" w:hAnsi="Times New Roman"/>
          <w:b w:val="0"/>
          <w:i w:val="0"/>
        </w:rPr>
        <w:t>hotovitelem a odsouhlasený</w:t>
      </w:r>
      <w:r w:rsidRPr="006F1E6F">
        <w:rPr>
          <w:rFonts w:ascii="Times New Roman" w:hAnsi="Times New Roman"/>
          <w:b w:val="0"/>
          <w:i w:val="0"/>
        </w:rPr>
        <w:t xml:space="preserve"> objednatelem. </w:t>
      </w:r>
    </w:p>
    <w:p w:rsidR="004B5467" w:rsidRDefault="004B5467" w:rsidP="004B5467">
      <w:pPr>
        <w:pStyle w:val="Zkladntext"/>
        <w:numPr>
          <w:ilvl w:val="0"/>
          <w:numId w:val="30"/>
        </w:numPr>
        <w:jc w:val="both"/>
        <w:rPr>
          <w:rFonts w:ascii="Times New Roman" w:hAnsi="Times New Roman"/>
          <w:b w:val="0"/>
          <w:i w:val="0"/>
        </w:rPr>
      </w:pPr>
      <w:r w:rsidRPr="006B3254">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4B5467" w:rsidRDefault="004B5467" w:rsidP="00421634">
      <w:pPr>
        <w:pStyle w:val="Nadpis6"/>
        <w:spacing w:beforeLines="20" w:before="48" w:after="120"/>
        <w:rPr>
          <w:rFonts w:ascii="Times New Roman" w:hAnsi="Times New Roman"/>
          <w:u w:val="none"/>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lastRenderedPageBreak/>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46593A" w:rsidRDefault="00C30097" w:rsidP="00C30097">
      <w:pPr>
        <w:numPr>
          <w:ilvl w:val="0"/>
          <w:numId w:val="5"/>
        </w:numPr>
        <w:tabs>
          <w:tab w:val="left" w:pos="0"/>
        </w:tabs>
        <w:spacing w:before="120"/>
        <w:jc w:val="both"/>
        <w:rPr>
          <w:b/>
          <w:sz w:val="24"/>
        </w:rPr>
      </w:pPr>
      <w:r w:rsidRPr="0046593A">
        <w:rPr>
          <w:sz w:val="24"/>
        </w:rPr>
        <w:t xml:space="preserve">Zhotovitel je povinen písemně vyzvat objednatele k převzetí konstrukcí, které budou zakryty, minimálně 3 pracovní dny předem. </w:t>
      </w:r>
    </w:p>
    <w:p w:rsidR="00832040" w:rsidRPr="00832040"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p>
    <w:p w:rsidR="00C30097" w:rsidRPr="0046593A" w:rsidRDefault="00C30097" w:rsidP="00752320">
      <w:pPr>
        <w:numPr>
          <w:ilvl w:val="0"/>
          <w:numId w:val="5"/>
        </w:numPr>
        <w:tabs>
          <w:tab w:val="left" w:pos="0"/>
        </w:tabs>
        <w:spacing w:before="120"/>
        <w:jc w:val="both"/>
        <w:rPr>
          <w:b/>
          <w:sz w:val="24"/>
        </w:rPr>
      </w:pPr>
      <w:r w:rsidRPr="0046593A">
        <w:rPr>
          <w:sz w:val="24"/>
        </w:rPr>
        <w:t>Původcem odpadu</w:t>
      </w:r>
      <w:r w:rsidR="003B6F68" w:rsidRPr="0046593A">
        <w:rPr>
          <w:sz w:val="24"/>
        </w:rPr>
        <w:t xml:space="preserve"> vzniklého při provádění díla</w:t>
      </w:r>
      <w:r w:rsidRPr="0046593A">
        <w:rPr>
          <w:sz w:val="24"/>
        </w:rPr>
        <w:t xml:space="preserve"> je zhotovitel.</w:t>
      </w:r>
    </w:p>
    <w:p w:rsidR="00FA2D4A" w:rsidRPr="0046593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46593A">
        <w:rPr>
          <w:rFonts w:ascii="Times New Roman" w:hAnsi="Times New Roman"/>
          <w:sz w:val="24"/>
        </w:rPr>
        <w:t>Zhotovitel bere na vědomí, že budova</w:t>
      </w:r>
      <w:r w:rsidR="00144D7E" w:rsidRPr="0046593A">
        <w:rPr>
          <w:rFonts w:ascii="Times New Roman" w:hAnsi="Times New Roman"/>
          <w:sz w:val="24"/>
        </w:rPr>
        <w:t>,</w:t>
      </w:r>
      <w:r w:rsidRPr="0046593A">
        <w:rPr>
          <w:rFonts w:ascii="Times New Roman" w:hAnsi="Times New Roman"/>
          <w:sz w:val="24"/>
        </w:rPr>
        <w:t xml:space="preserve"> v níž bude dílo provádět, je součástí vojenského areálu, výměna bude probíhat za </w:t>
      </w:r>
      <w:r w:rsidRPr="00832040">
        <w:rPr>
          <w:rFonts w:ascii="Times New Roman" w:hAnsi="Times New Roman"/>
          <w:sz w:val="24"/>
        </w:rPr>
        <w:t xml:space="preserve">provozu. </w:t>
      </w:r>
      <w:r w:rsidR="00567814" w:rsidRPr="00832040">
        <w:rPr>
          <w:rFonts w:ascii="Times New Roman" w:hAnsi="Times New Roman"/>
          <w:sz w:val="24"/>
        </w:rPr>
        <w:t xml:space="preserve"> </w:t>
      </w:r>
    </w:p>
    <w:p w:rsidR="00D60CE5" w:rsidRPr="000649DF" w:rsidRDefault="00D60CE5" w:rsidP="00D60CE5">
      <w:pPr>
        <w:numPr>
          <w:ilvl w:val="0"/>
          <w:numId w:val="5"/>
        </w:numPr>
        <w:spacing w:before="120"/>
        <w:jc w:val="both"/>
        <w:rPr>
          <w:sz w:val="24"/>
        </w:rPr>
      </w:pPr>
      <w:r w:rsidRPr="007F3E70">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0649DF" w:rsidRPr="006F1E6F" w:rsidRDefault="000649DF" w:rsidP="000649DF">
      <w:pPr>
        <w:numPr>
          <w:ilvl w:val="0"/>
          <w:numId w:val="5"/>
        </w:numPr>
        <w:spacing w:before="120"/>
        <w:jc w:val="both"/>
        <w:rPr>
          <w:sz w:val="24"/>
        </w:rPr>
      </w:pPr>
      <w:r w:rsidRPr="006F1E6F">
        <w:rPr>
          <w:sz w:val="24"/>
        </w:rPr>
        <w:t>Zhotovitel je povinen zajistit stálé odborné vedení stavby prostřednictvím vedoucího stavby, jež bude potřebně kvalifikován (autorizace v oboru pozemní stavby) a v průběhu prací přítomen na stavbě. Tato osoba (zaměstnanec zhotovitele) bude jmenovitě stanovena v protokolu o předání staveniště a zapsána ve stavebním deníku akce zároveň s osobou, jež bude vedoucího stavby zastupovat při jeho případné výjimečné nepřítomnosti.</w:t>
      </w:r>
    </w:p>
    <w:p w:rsidR="00D60CE5" w:rsidRPr="00D60CE5" w:rsidRDefault="00D60CE5" w:rsidP="00D60CE5">
      <w:pPr>
        <w:tabs>
          <w:tab w:val="left" w:pos="0"/>
        </w:tabs>
        <w:spacing w:beforeLines="20" w:before="48"/>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4B1682" w:rsidRPr="004B1682" w:rsidRDefault="004B1682" w:rsidP="004B1682"/>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B11DC1">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w:t>
      </w:r>
      <w:r w:rsidR="0075034C" w:rsidRPr="00154C7E">
        <w:rPr>
          <w:sz w:val="24"/>
        </w:rPr>
        <w:t>odpovědnost</w:t>
      </w:r>
      <w:r w:rsidR="00D60CE5" w:rsidRPr="00154C7E">
        <w:rPr>
          <w:sz w:val="24"/>
        </w:rPr>
        <w:t xml:space="preserve"> za převzatý objekt,</w:t>
      </w:r>
      <w:r w:rsidR="0075034C" w:rsidRPr="00154C7E">
        <w:rPr>
          <w:sz w:val="24"/>
        </w:rPr>
        <w:t xml:space="preserve"> za dodržování </w:t>
      </w:r>
      <w:r w:rsidR="00C12C0B" w:rsidRPr="00154C7E">
        <w:rPr>
          <w:sz w:val="24"/>
        </w:rPr>
        <w:t xml:space="preserve">platných </w:t>
      </w:r>
      <w:r w:rsidR="0075034C" w:rsidRPr="00154C7E">
        <w:rPr>
          <w:sz w:val="24"/>
        </w:rPr>
        <w:t xml:space="preserve">předpisů zajišťujících bezpečnost a ochranu </w:t>
      </w:r>
      <w:r w:rsidR="0075034C" w:rsidRPr="00095FDB">
        <w:rPr>
          <w:sz w:val="24"/>
        </w:rPr>
        <w:t>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lastRenderedPageBreak/>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8B35F9">
        <w:rPr>
          <w:rFonts w:ascii="Times New Roman" w:hAnsi="Times New Roman"/>
          <w:sz w:val="24"/>
          <w:szCs w:val="20"/>
        </w:rPr>
        <w:t>5</w:t>
      </w:r>
      <w:r w:rsidR="0046593A" w:rsidRPr="0046593A">
        <w:rPr>
          <w:rFonts w:ascii="Times New Roman" w:hAnsi="Times New Roman"/>
          <w:b/>
          <w:sz w:val="24"/>
          <w:szCs w:val="20"/>
        </w:rPr>
        <w:t> </w:t>
      </w:r>
      <w:r w:rsidR="0046593A" w:rsidRPr="00505136">
        <w:rPr>
          <w:rFonts w:ascii="Times New Roman" w:hAnsi="Times New Roman"/>
          <w:sz w:val="24"/>
          <w:szCs w:val="20"/>
        </w:rPr>
        <w:t xml:space="preserve">000 000 </w:t>
      </w:r>
      <w:r w:rsidR="000B70BA" w:rsidRPr="00505136">
        <w:rPr>
          <w:rFonts w:ascii="Times New Roman" w:hAnsi="Times New Roman"/>
          <w:sz w:val="24"/>
          <w:szCs w:val="20"/>
        </w:rPr>
        <w:t>K</w:t>
      </w:r>
      <w:r w:rsidRPr="00505136">
        <w:rPr>
          <w:rFonts w:ascii="Times New Roman" w:hAnsi="Times New Roman"/>
          <w:sz w:val="24"/>
          <w:szCs w:val="20"/>
        </w:rPr>
        <w:t>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832040">
      <w:pPr>
        <w:shd w:val="clear" w:color="00FFFF" w:fill="auto"/>
        <w:spacing w:before="120"/>
        <w:ind w:left="851" w:hanging="851"/>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832040">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lastRenderedPageBreak/>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FE5E24" w:rsidRDefault="007F3E70"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5E0502"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5579F4" w:rsidRDefault="001128D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 xml:space="preserve">Za prodlení s úhradou faktury zaplatí objednatel zhotoviteli smluvní pokutu </w:t>
      </w:r>
      <w:r w:rsidR="005579F4">
        <w:rPr>
          <w:rFonts w:ascii="Times New Roman" w:hAnsi="Times New Roman"/>
          <w:bCs/>
          <w:sz w:val="24"/>
        </w:rPr>
        <w:t xml:space="preserve">ve výši </w:t>
      </w:r>
      <w:r w:rsidRPr="005579F4">
        <w:rPr>
          <w:rFonts w:ascii="Times New Roman" w:hAnsi="Times New Roman"/>
          <w:bCs/>
          <w:sz w:val="24"/>
        </w:rPr>
        <w:t>0,05 % z fakturované částky za každý den prodlení.</w:t>
      </w:r>
    </w:p>
    <w:p w:rsidR="00195732" w:rsidRDefault="00AE264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rsidR="00AE2642" w:rsidRPr="00195732" w:rsidRDefault="00A11243"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46593A">
        <w:rPr>
          <w:rFonts w:ascii="Times New Roman" w:hAnsi="Times New Roman"/>
          <w:bCs/>
          <w:sz w:val="24"/>
        </w:rPr>
        <w:t>3 500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2B21CE">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0D156B">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B11DC1" w:rsidRDefault="00B11DC1" w:rsidP="00DD1651">
      <w:pPr>
        <w:pStyle w:val="Zkladntext2"/>
        <w:ind w:left="851" w:hanging="851"/>
        <w:jc w:val="center"/>
        <w:rPr>
          <w:rFonts w:ascii="Times New Roman" w:hAnsi="Times New Roman"/>
          <w:bCs/>
          <w:caps/>
        </w:rPr>
      </w:pPr>
    </w:p>
    <w:p w:rsidR="00DD1651" w:rsidRPr="007F3E70" w:rsidRDefault="00DD1651" w:rsidP="00DD1651">
      <w:pPr>
        <w:pStyle w:val="Zkladntext2"/>
        <w:ind w:left="851" w:hanging="851"/>
        <w:jc w:val="center"/>
        <w:rPr>
          <w:rFonts w:ascii="Times New Roman" w:hAnsi="Times New Roman"/>
          <w:bCs/>
          <w:caps/>
        </w:rPr>
      </w:pPr>
      <w:r w:rsidRPr="007F3E70">
        <w:rPr>
          <w:rFonts w:ascii="Times New Roman" w:hAnsi="Times New Roman"/>
          <w:bCs/>
          <w:caps/>
        </w:rPr>
        <w:t xml:space="preserve">XI. </w:t>
      </w:r>
    </w:p>
    <w:p w:rsidR="00DD1651" w:rsidRPr="007F3E70" w:rsidRDefault="00DD1651" w:rsidP="00DD1651">
      <w:pPr>
        <w:pStyle w:val="Zkladntext2"/>
        <w:ind w:left="851" w:hanging="851"/>
        <w:jc w:val="center"/>
        <w:rPr>
          <w:rFonts w:ascii="Times New Roman" w:hAnsi="Times New Roman"/>
          <w:bCs/>
          <w:caps/>
        </w:rPr>
      </w:pPr>
      <w:r w:rsidRPr="007F3E70">
        <w:rPr>
          <w:rFonts w:ascii="Times New Roman" w:hAnsi="Times New Roman"/>
          <w:bCs/>
          <w:caps/>
        </w:rPr>
        <w:t>Přechod vlastnictví a odpovědnosti za škodu na díle</w:t>
      </w:r>
    </w:p>
    <w:p w:rsidR="00DD1651" w:rsidRPr="007F3E70" w:rsidRDefault="00DD1651" w:rsidP="00DD1651">
      <w:pPr>
        <w:pStyle w:val="Zkladntext2"/>
        <w:ind w:left="567" w:hanging="567"/>
        <w:rPr>
          <w:rFonts w:ascii="Times New Roman" w:hAnsi="Times New Roman"/>
          <w:b w:val="0"/>
          <w:sz w:val="22"/>
          <w:szCs w:val="22"/>
        </w:rPr>
      </w:pPr>
      <w:r w:rsidRPr="007F3E70">
        <w:rPr>
          <w:rFonts w:ascii="Times New Roman" w:hAnsi="Times New Roman"/>
          <w:sz w:val="22"/>
          <w:szCs w:val="22"/>
        </w:rPr>
        <w:t>11.1</w:t>
      </w:r>
      <w:r w:rsidRPr="007F3E70">
        <w:rPr>
          <w:rFonts w:ascii="Times New Roman" w:hAnsi="Times New Roman"/>
          <w:b w:val="0"/>
          <w:sz w:val="22"/>
          <w:szCs w:val="22"/>
        </w:rPr>
        <w:tab/>
      </w:r>
      <w:r w:rsidRPr="007F3E70">
        <w:rPr>
          <w:rFonts w:ascii="Times New Roman" w:hAnsi="Times New Roman"/>
          <w:b w:val="0"/>
          <w:sz w:val="22"/>
          <w:szCs w:val="22"/>
        </w:rPr>
        <w:tab/>
        <w:t xml:space="preserve">  </w:t>
      </w:r>
      <w:r w:rsidRPr="007F3E70">
        <w:rPr>
          <w:rFonts w:ascii="Times New Roman" w:hAnsi="Times New Roman"/>
          <w:b w:val="0"/>
        </w:rPr>
        <w:t>Vlastníkem zhotovovaného díla je objednatel.</w:t>
      </w:r>
    </w:p>
    <w:p w:rsidR="00DD1651" w:rsidRPr="007F3E70" w:rsidRDefault="00DD1651" w:rsidP="00DD1651">
      <w:pPr>
        <w:pStyle w:val="Zkladntext2"/>
        <w:ind w:left="851" w:hanging="851"/>
        <w:rPr>
          <w:rFonts w:ascii="Times New Roman" w:hAnsi="Times New Roman"/>
          <w:b w:val="0"/>
        </w:rPr>
      </w:pPr>
      <w:r w:rsidRPr="007F3E70">
        <w:rPr>
          <w:rFonts w:ascii="Times New Roman" w:hAnsi="Times New Roman"/>
          <w:sz w:val="22"/>
          <w:szCs w:val="22"/>
        </w:rPr>
        <w:t>11.2</w:t>
      </w:r>
      <w:r w:rsidRPr="007F3E70">
        <w:rPr>
          <w:rFonts w:ascii="Times New Roman" w:hAnsi="Times New Roman"/>
          <w:b w:val="0"/>
          <w:sz w:val="22"/>
          <w:szCs w:val="22"/>
        </w:rPr>
        <w:tab/>
      </w:r>
      <w:r w:rsidRPr="007F3E70">
        <w:rPr>
          <w:rFonts w:ascii="Times New Roman" w:hAnsi="Times New Roman"/>
          <w:b w:val="0"/>
        </w:rPr>
        <w:t>Za škody vzniklé na díle odpovídá po dobu plnění předmětu smlouvy zhotovitel. Odpovědnost za škody přechází na objednatele dnem převzetí díla od zhotovitele.</w:t>
      </w:r>
    </w:p>
    <w:p w:rsidR="00DD1651" w:rsidRPr="007F3E70" w:rsidRDefault="00DD1651" w:rsidP="00DD1651">
      <w:pPr>
        <w:pStyle w:val="Zkladntext2"/>
        <w:ind w:left="851" w:hanging="851"/>
        <w:rPr>
          <w:rFonts w:ascii="Times New Roman" w:hAnsi="Times New Roman"/>
          <w:b w:val="0"/>
        </w:rPr>
      </w:pPr>
      <w:r w:rsidRPr="007F3E70">
        <w:rPr>
          <w:rFonts w:ascii="Times New Roman" w:hAnsi="Times New Roman"/>
          <w:sz w:val="22"/>
          <w:szCs w:val="22"/>
        </w:rPr>
        <w:t>11.3</w:t>
      </w:r>
      <w:r w:rsidRPr="007F3E70">
        <w:rPr>
          <w:rFonts w:ascii="Times New Roman" w:hAnsi="Times New Roman"/>
          <w:b w:val="0"/>
        </w:rPr>
        <w:t xml:space="preserve"> </w:t>
      </w:r>
      <w:r w:rsidRPr="007F3E70">
        <w:rPr>
          <w:rFonts w:ascii="Times New Roman" w:hAnsi="Times New Roman"/>
          <w:b w:val="0"/>
        </w:rPr>
        <w:tab/>
        <w:t>Zhotovitel odpovídá za všechny škody, které vzniknou v průběhu plnění předmětu smlouvy jeho činností objednateli, případně třetím osobám a je povinen vzniklé škody uhradit nebo odstranit na své náklady.</w:t>
      </w:r>
    </w:p>
    <w:p w:rsidR="00DD1651" w:rsidRPr="00421634" w:rsidRDefault="00DD1651" w:rsidP="00DD1651">
      <w:pPr>
        <w:tabs>
          <w:tab w:val="right" w:pos="9071"/>
        </w:tabs>
        <w:spacing w:after="120"/>
        <w:jc w:val="both"/>
        <w:rPr>
          <w:sz w:val="24"/>
        </w:rPr>
      </w:pPr>
    </w:p>
    <w:p w:rsidR="00DD1651" w:rsidRDefault="00DD1651" w:rsidP="0058645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w:t>
      </w:r>
      <w:r>
        <w:rPr>
          <w:rFonts w:ascii="Times New Roman" w:hAnsi="Times New Roman"/>
          <w:u w:val="none"/>
        </w:rPr>
        <w:t>II</w:t>
      </w:r>
      <w:r w:rsidRPr="00421634">
        <w:rPr>
          <w:rFonts w:ascii="Times New Roman" w:hAnsi="Times New Roman"/>
          <w:u w:val="none"/>
        </w:rPr>
        <w:t>. ODSTOUPENÍ OD SMLOUVY</w:t>
      </w:r>
    </w:p>
    <w:p w:rsidR="00DD1651" w:rsidRPr="007D3E98" w:rsidRDefault="00DD1651" w:rsidP="00DD1651">
      <w:pPr>
        <w:pStyle w:val="Zkladntext3"/>
        <w:spacing w:beforeLines="20" w:before="48"/>
        <w:jc w:val="both"/>
        <w:rPr>
          <w:szCs w:val="24"/>
        </w:rPr>
      </w:pPr>
      <w:r w:rsidRPr="00DD1651">
        <w:rPr>
          <w:b/>
          <w:sz w:val="22"/>
          <w:szCs w:val="22"/>
        </w:rPr>
        <w:t>12.1</w:t>
      </w:r>
      <w:r w:rsidRPr="007D3E98">
        <w:rPr>
          <w:sz w:val="22"/>
          <w:szCs w:val="22"/>
        </w:rPr>
        <w:tab/>
      </w:r>
      <w:r w:rsidRPr="007D3E98">
        <w:rPr>
          <w:szCs w:val="24"/>
        </w:rPr>
        <w:t xml:space="preserve">Odstoupit od této smlouvy lze pro podstatné porušení smluvních povinností, kterými </w:t>
      </w:r>
    </w:p>
    <w:p w:rsidR="00DD1651" w:rsidRPr="007D3E98" w:rsidRDefault="00DD1651" w:rsidP="00DD1651">
      <w:pPr>
        <w:pStyle w:val="Zkladntext3"/>
        <w:spacing w:beforeLines="20" w:before="48"/>
        <w:jc w:val="both"/>
        <w:rPr>
          <w:szCs w:val="24"/>
        </w:rPr>
      </w:pPr>
      <w:r w:rsidRPr="007D3E98">
        <w:rPr>
          <w:szCs w:val="24"/>
        </w:rPr>
        <w:tab/>
        <w:t>jsou zejména:</w:t>
      </w:r>
    </w:p>
    <w:p w:rsidR="00DD1651" w:rsidRPr="007D3E98" w:rsidRDefault="00DD1651" w:rsidP="00DD1651">
      <w:pPr>
        <w:pStyle w:val="Zkladntext3"/>
        <w:numPr>
          <w:ilvl w:val="0"/>
          <w:numId w:val="3"/>
        </w:numPr>
        <w:tabs>
          <w:tab w:val="clear" w:pos="720"/>
          <w:tab w:val="num" w:pos="1418"/>
        </w:tabs>
        <w:spacing w:before="0"/>
        <w:ind w:left="1417" w:hanging="357"/>
        <w:jc w:val="both"/>
      </w:pPr>
      <w:r w:rsidRPr="007D3E98">
        <w:t>neplnění předmětu díla podle čl. I.;</w:t>
      </w:r>
    </w:p>
    <w:p w:rsidR="00DD1651" w:rsidRPr="007D3E98" w:rsidRDefault="00DD1651" w:rsidP="00DD1651">
      <w:pPr>
        <w:pStyle w:val="Zkladntext3"/>
        <w:numPr>
          <w:ilvl w:val="0"/>
          <w:numId w:val="3"/>
        </w:numPr>
        <w:tabs>
          <w:tab w:val="clear" w:pos="720"/>
          <w:tab w:val="num" w:pos="1418"/>
        </w:tabs>
        <w:spacing w:before="0"/>
        <w:ind w:left="1417" w:hanging="357"/>
        <w:jc w:val="both"/>
      </w:pPr>
      <w:r w:rsidRPr="007D3E98">
        <w:t>zhotovitel neprovede dílo v patřičné kvalitě podle platných předpisů a norem;</w:t>
      </w:r>
    </w:p>
    <w:p w:rsidR="00DD1651" w:rsidRPr="007D3E98" w:rsidRDefault="00DD1651" w:rsidP="00DD1651">
      <w:pPr>
        <w:pStyle w:val="Zkladntext3"/>
        <w:numPr>
          <w:ilvl w:val="0"/>
          <w:numId w:val="3"/>
        </w:numPr>
        <w:tabs>
          <w:tab w:val="clear" w:pos="720"/>
          <w:tab w:val="num" w:pos="1418"/>
        </w:tabs>
        <w:spacing w:before="0"/>
        <w:ind w:left="1417" w:hanging="357"/>
        <w:jc w:val="both"/>
      </w:pPr>
      <w:r w:rsidRPr="007D3E98">
        <w:t>zhotovitel je v prodlení s termínem dokončení díla o více než 5 kalendářních dnů;</w:t>
      </w:r>
    </w:p>
    <w:p w:rsidR="00DD1651" w:rsidRPr="007D3E98" w:rsidRDefault="00DD1651" w:rsidP="00DD1651">
      <w:pPr>
        <w:pStyle w:val="Zkladntext3"/>
        <w:numPr>
          <w:ilvl w:val="0"/>
          <w:numId w:val="3"/>
        </w:numPr>
        <w:tabs>
          <w:tab w:val="clear" w:pos="720"/>
          <w:tab w:val="num" w:pos="1418"/>
        </w:tabs>
        <w:spacing w:before="0" w:after="120"/>
        <w:ind w:left="1417" w:hanging="357"/>
        <w:jc w:val="both"/>
      </w:pPr>
      <w:r w:rsidRPr="007D3E98">
        <w:t>zhotovitel bez vážných důvodů přerušil práce na díle na dobu delší než 5 kalendářních dnů;</w:t>
      </w:r>
    </w:p>
    <w:p w:rsidR="00DD1651" w:rsidRPr="007D3E98" w:rsidRDefault="00DD1651" w:rsidP="00DD1651">
      <w:pPr>
        <w:spacing w:beforeLines="20" w:before="48"/>
        <w:ind w:left="720" w:hanging="720"/>
        <w:jc w:val="both"/>
        <w:rPr>
          <w:sz w:val="24"/>
        </w:rPr>
      </w:pPr>
      <w:r w:rsidRPr="00DD1651">
        <w:rPr>
          <w:b/>
          <w:sz w:val="22"/>
          <w:szCs w:val="22"/>
        </w:rPr>
        <w:t>12.2</w:t>
      </w:r>
      <w:r w:rsidRPr="007D3E98">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DD1651" w:rsidRDefault="00DD1651" w:rsidP="00DD1651">
      <w:pPr>
        <w:spacing w:beforeLines="20" w:before="48"/>
        <w:ind w:left="851"/>
        <w:jc w:val="both"/>
        <w:rPr>
          <w:sz w:val="24"/>
        </w:rPr>
      </w:pPr>
    </w:p>
    <w:p w:rsidR="00DD1651" w:rsidRDefault="00DD1651" w:rsidP="00586457">
      <w:pPr>
        <w:pStyle w:val="Nadpis6"/>
        <w:keepNext w:val="0"/>
        <w:spacing w:beforeLines="20" w:before="48" w:after="120"/>
        <w:rPr>
          <w:rFonts w:ascii="Times New Roman" w:hAnsi="Times New Roman"/>
          <w:u w:val="none"/>
        </w:rPr>
      </w:pPr>
      <w:r w:rsidRPr="00421634">
        <w:rPr>
          <w:rFonts w:ascii="Times New Roman" w:hAnsi="Times New Roman"/>
          <w:u w:val="none"/>
        </w:rPr>
        <w:t>XI</w:t>
      </w:r>
      <w:r>
        <w:rPr>
          <w:rFonts w:ascii="Times New Roman" w:hAnsi="Times New Roman"/>
          <w:u w:val="none"/>
        </w:rPr>
        <w:t>II</w:t>
      </w:r>
      <w:r w:rsidRPr="00421634">
        <w:rPr>
          <w:rFonts w:ascii="Times New Roman" w:hAnsi="Times New Roman"/>
          <w:u w:val="none"/>
        </w:rPr>
        <w:t>. ZÁVĚREČNÁ USTANOVENÍ</w:t>
      </w:r>
    </w:p>
    <w:p w:rsidR="00DD1651" w:rsidRPr="007D3E98" w:rsidRDefault="00DD1651" w:rsidP="00DD1651">
      <w:pPr>
        <w:tabs>
          <w:tab w:val="left" w:pos="0"/>
        </w:tabs>
        <w:spacing w:after="120"/>
        <w:ind w:left="720" w:hanging="720"/>
        <w:jc w:val="both"/>
        <w:rPr>
          <w:sz w:val="24"/>
          <w:szCs w:val="24"/>
        </w:rPr>
      </w:pPr>
      <w:r w:rsidRPr="00DD1651">
        <w:rPr>
          <w:b/>
          <w:bCs/>
          <w:sz w:val="24"/>
        </w:rPr>
        <w:t>13.1</w:t>
      </w:r>
      <w:r w:rsidRPr="007D3E98">
        <w:rPr>
          <w:bCs/>
          <w:sz w:val="24"/>
        </w:rPr>
        <w:tab/>
        <w:t>Tato smlouva a práva a povinnosti z ní vzniklé se řídí zákonem č. 89/2012 Sb., občanský zákoník v platném znění.</w:t>
      </w:r>
    </w:p>
    <w:p w:rsidR="00DD1651" w:rsidRPr="007D3E98" w:rsidRDefault="00DD1651" w:rsidP="00DD1651">
      <w:pPr>
        <w:pStyle w:val="Zkladntext3"/>
        <w:spacing w:before="0" w:after="120"/>
        <w:ind w:left="720" w:hanging="720"/>
        <w:jc w:val="both"/>
      </w:pPr>
      <w:r w:rsidRPr="00DD1651">
        <w:rPr>
          <w:b/>
        </w:rPr>
        <w:t>13.2</w:t>
      </w:r>
      <w:r w:rsidRPr="007D3E98">
        <w:tab/>
        <w:t>Smlouva nabývá platnosti dnem podpisu oběma smluvními stranami  a účinnosti dnem uveřejnění v registru smluv. Zhotovitel bere na vědomí, že uveřejnění v tom</w:t>
      </w:r>
      <w:r w:rsidR="00B11DC1">
        <w:t xml:space="preserve">to registru </w:t>
      </w:r>
      <w:r w:rsidR="000A29EC">
        <w:t xml:space="preserve">v plném znění </w:t>
      </w:r>
      <w:r w:rsidR="00B11DC1">
        <w:t>zajistí objednatel.</w:t>
      </w:r>
    </w:p>
    <w:p w:rsidR="00DD1651" w:rsidRPr="007D3E98" w:rsidRDefault="00DD1651" w:rsidP="00DD1651">
      <w:pPr>
        <w:pStyle w:val="Zkladntext3"/>
        <w:spacing w:before="0" w:after="120"/>
        <w:ind w:left="720" w:hanging="720"/>
        <w:jc w:val="both"/>
        <w:rPr>
          <w:bCs/>
        </w:rPr>
      </w:pPr>
      <w:r w:rsidRPr="00DD1651">
        <w:rPr>
          <w:b/>
        </w:rPr>
        <w:t>13.3</w:t>
      </w:r>
      <w:r w:rsidRPr="007D3E98">
        <w:ta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DD1651" w:rsidRPr="007D3E98" w:rsidRDefault="00DD1651" w:rsidP="00DD1651">
      <w:pPr>
        <w:pStyle w:val="Zkladntext3"/>
        <w:spacing w:before="0" w:after="120"/>
        <w:ind w:left="720" w:hanging="720"/>
        <w:jc w:val="both"/>
        <w:rPr>
          <w:bCs/>
        </w:rPr>
      </w:pPr>
      <w:r w:rsidRPr="00DD1651">
        <w:rPr>
          <w:b/>
        </w:rPr>
        <w:t>13.4</w:t>
      </w:r>
      <w:r w:rsidRPr="007D3E98">
        <w:ta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DD1651" w:rsidRPr="007D3E98" w:rsidRDefault="00DD1651" w:rsidP="00DD1651">
      <w:pPr>
        <w:pStyle w:val="Zkladntext3"/>
        <w:spacing w:before="0" w:after="120"/>
        <w:ind w:left="720" w:hanging="720"/>
        <w:jc w:val="both"/>
      </w:pPr>
      <w:r w:rsidRPr="00DD1651">
        <w:rPr>
          <w:b/>
        </w:rPr>
        <w:t>13.5</w:t>
      </w:r>
      <w:r w:rsidRPr="007D3E98">
        <w:tab/>
        <w:t xml:space="preserve">Smlouva se vyhotovuje ve třech stejnopisech, z nichž l </w:t>
      </w:r>
      <w:proofErr w:type="spellStart"/>
      <w:r w:rsidRPr="007D3E98">
        <w:t>paré</w:t>
      </w:r>
      <w:proofErr w:type="spellEnd"/>
      <w:r w:rsidRPr="007D3E98">
        <w:t xml:space="preserve"> obdrží zhotovitel a 2 </w:t>
      </w:r>
      <w:proofErr w:type="spellStart"/>
      <w:r w:rsidRPr="007D3E98">
        <w:t>paré</w:t>
      </w:r>
      <w:proofErr w:type="spellEnd"/>
      <w:r w:rsidRPr="007D3E98">
        <w:t xml:space="preserve"> objednatel.</w:t>
      </w:r>
    </w:p>
    <w:p w:rsidR="00DD1651" w:rsidRPr="007D3E98" w:rsidRDefault="00DD1651" w:rsidP="00DD1651">
      <w:pPr>
        <w:pStyle w:val="Zkladntext3"/>
        <w:spacing w:before="0" w:after="120"/>
        <w:ind w:left="720" w:hanging="720"/>
        <w:jc w:val="both"/>
      </w:pPr>
      <w:r w:rsidRPr="00DD1651">
        <w:rPr>
          <w:b/>
        </w:rPr>
        <w:t>13.6</w:t>
      </w:r>
      <w:r w:rsidRPr="007D3E98">
        <w:tab/>
        <w:t>Smluvní strany prohlašují, že smlouvu přečetly, s jejím obsahem souhlasí, což stvrzují svými podpisy.</w:t>
      </w: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w:t>
      </w:r>
      <w:r w:rsidR="00BF3E57">
        <w:rPr>
          <w:sz w:val="24"/>
          <w:szCs w:val="24"/>
        </w:rPr>
        <w:t xml:space="preserve"> </w:t>
      </w:r>
      <w:r w:rsidR="0053318D">
        <w:rPr>
          <w:sz w:val="24"/>
          <w:szCs w:val="24"/>
        </w:rPr>
        <w:t>Oceněný s</w:t>
      </w:r>
      <w:r w:rsidR="002B21CE">
        <w:rPr>
          <w:sz w:val="24"/>
          <w:szCs w:val="24"/>
        </w:rPr>
        <w:t>oupis stavebních prací a dodávek</w:t>
      </w: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C33DC9">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005E0502">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5E0502"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 xml:space="preserve">       </w:t>
      </w:r>
      <w:r w:rsidR="009C5B53" w:rsidRPr="009C5B53">
        <w:rPr>
          <w:rFonts w:ascii="Times New Roman" w:hAnsi="Times New Roman"/>
          <w:sz w:val="24"/>
        </w:rPr>
        <w:t xml:space="preserve"> </w:t>
      </w:r>
      <w:r>
        <w:rPr>
          <w:rFonts w:ascii="Times New Roman" w:hAnsi="Times New Roman"/>
          <w:sz w:val="24"/>
        </w:rPr>
        <w:tab/>
        <w:t xml:space="preserve">  </w:t>
      </w:r>
      <w:r w:rsidR="009C5B53" w:rsidRPr="009C5B53">
        <w:rPr>
          <w:rFonts w:ascii="Times New Roman" w:hAnsi="Times New Roman"/>
          <w:sz w:val="24"/>
        </w:rPr>
        <w:t xml:space="preserve">   </w:t>
      </w:r>
      <w:r w:rsidR="009C5B53"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5E0502">
        <w:rPr>
          <w:rFonts w:ascii="Times New Roman" w:hAnsi="Times New Roman"/>
          <w:sz w:val="24"/>
        </w:rPr>
        <w:t xml:space="preserve">       </w:t>
      </w:r>
      <w:r w:rsidRPr="009C5B53">
        <w:rPr>
          <w:rFonts w:ascii="Times New Roman" w:hAnsi="Times New Roman"/>
          <w:sz w:val="24"/>
        </w:rPr>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5E0502">
        <w:rPr>
          <w:sz w:val="24"/>
        </w:rPr>
        <w:t xml:space="preserve">       </w:t>
      </w:r>
      <w:r w:rsidR="003C567B">
        <w:rPr>
          <w:sz w:val="24"/>
        </w:rPr>
        <w:t xml:space="preserve">    </w:t>
      </w:r>
      <w:r>
        <w:rPr>
          <w:sz w:val="24"/>
        </w:rPr>
        <w:t xml:space="preserve">  </w:t>
      </w:r>
      <w:r w:rsidRPr="009C5B53">
        <w:rPr>
          <w:sz w:val="24"/>
          <w:szCs w:val="24"/>
          <w:highlight w:val="yellow"/>
        </w:rPr>
        <w:t>………….</w:t>
      </w:r>
    </w:p>
    <w:p w:rsidR="001A70ED" w:rsidRPr="00A12374" w:rsidRDefault="001A70ED" w:rsidP="001A70ED">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534FAC" w:rsidRPr="00560BF2" w:rsidRDefault="00534FAC">
      <w:pPr>
        <w:pStyle w:val="Odstavecseseznamem"/>
        <w:tabs>
          <w:tab w:val="center" w:pos="1843"/>
          <w:tab w:val="center" w:pos="7230"/>
        </w:tabs>
        <w:spacing w:after="0" w:line="240" w:lineRule="auto"/>
        <w:ind w:left="0"/>
        <w:rPr>
          <w:rFonts w:ascii="Times New Roman" w:hAnsi="Times New Roman"/>
          <w:sz w:val="24"/>
        </w:rPr>
      </w:pPr>
    </w:p>
    <w:sectPr w:rsidR="00534FAC"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36" w:rsidRDefault="00ED1B36">
      <w:r>
        <w:separator/>
      </w:r>
    </w:p>
  </w:endnote>
  <w:endnote w:type="continuationSeparator" w:id="0">
    <w:p w:rsidR="00ED1B36" w:rsidRDefault="00ED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7517A">
      <w:rPr>
        <w:rStyle w:val="slostrnky"/>
        <w:noProof/>
      </w:rPr>
      <w:t>4</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36" w:rsidRDefault="00ED1B36">
      <w:r>
        <w:separator/>
      </w:r>
    </w:p>
  </w:footnote>
  <w:footnote w:type="continuationSeparator" w:id="0">
    <w:p w:rsidR="00ED1B36" w:rsidRDefault="00ED1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391364" w:rsidP="009C5B53">
    <w:pPr>
      <w:pStyle w:val="Zhlav"/>
      <w:rPr>
        <w:b/>
        <w:color w:val="000000" w:themeColor="text1"/>
        <w:sz w:val="24"/>
        <w:szCs w:val="24"/>
      </w:rPr>
    </w:pPr>
    <w:r w:rsidRPr="00391364">
      <w:rPr>
        <w:sz w:val="24"/>
        <w:szCs w:val="24"/>
      </w:rPr>
      <w:t>Příloha č. 3 ZD</w:t>
    </w:r>
    <w:r w:rsidR="00722094">
      <w:rPr>
        <w:b/>
        <w:sz w:val="24"/>
        <w:szCs w:val="24"/>
      </w:rPr>
      <w:tab/>
    </w:r>
    <w:r w:rsidR="0067072B">
      <w:rPr>
        <w:b/>
        <w:color w:val="FF0000"/>
        <w:sz w:val="24"/>
        <w:szCs w:val="24"/>
      </w:rPr>
      <w:t>NÁVRH</w:t>
    </w:r>
    <w:r w:rsidR="00722094">
      <w:rPr>
        <w:b/>
        <w:sz w:val="24"/>
        <w:szCs w:val="24"/>
      </w:rPr>
      <w:tab/>
    </w:r>
    <w:r w:rsidR="006F1E6F">
      <w:rPr>
        <w:sz w:val="24"/>
        <w:szCs w:val="24"/>
      </w:rPr>
      <w:t>Smlouva č. U</w:t>
    </w:r>
    <w:r w:rsidR="009C5B53" w:rsidRPr="0046593A">
      <w:rPr>
        <w:sz w:val="24"/>
        <w:szCs w:val="24"/>
      </w:rPr>
      <w:t>-xxx</w:t>
    </w:r>
    <w:r w:rsidR="00722094" w:rsidRPr="0046593A">
      <w:rPr>
        <w:sz w:val="24"/>
        <w:szCs w:val="24"/>
      </w:rPr>
      <w:t>-00/1</w:t>
    </w:r>
    <w:r w:rsidR="0091704E">
      <w:rPr>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4815371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DF4410"/>
    <w:multiLevelType w:val="hybridMultilevel"/>
    <w:tmpl w:val="C73CF8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F70D48"/>
    <w:multiLevelType w:val="hybridMultilevel"/>
    <w:tmpl w:val="41B666A6"/>
    <w:lvl w:ilvl="0" w:tplc="26CE00C8">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4">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6">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3"/>
  </w:num>
  <w:num w:numId="3">
    <w:abstractNumId w:val="23"/>
  </w:num>
  <w:num w:numId="4">
    <w:abstractNumId w:val="44"/>
  </w:num>
  <w:num w:numId="5">
    <w:abstractNumId w:val="46"/>
  </w:num>
  <w:num w:numId="6">
    <w:abstractNumId w:val="14"/>
  </w:num>
  <w:num w:numId="7">
    <w:abstractNumId w:val="8"/>
  </w:num>
  <w:num w:numId="8">
    <w:abstractNumId w:val="41"/>
  </w:num>
  <w:num w:numId="9">
    <w:abstractNumId w:val="5"/>
  </w:num>
  <w:num w:numId="10">
    <w:abstractNumId w:val="42"/>
  </w:num>
  <w:num w:numId="11">
    <w:abstractNumId w:val="39"/>
  </w:num>
  <w:num w:numId="12">
    <w:abstractNumId w:val="17"/>
  </w:num>
  <w:num w:numId="13">
    <w:abstractNumId w:val="0"/>
  </w:num>
  <w:num w:numId="14">
    <w:abstractNumId w:val="38"/>
  </w:num>
  <w:num w:numId="15">
    <w:abstractNumId w:val="18"/>
  </w:num>
  <w:num w:numId="16">
    <w:abstractNumId w:val="35"/>
  </w:num>
  <w:num w:numId="17">
    <w:abstractNumId w:val="43"/>
  </w:num>
  <w:num w:numId="18">
    <w:abstractNumId w:val="34"/>
  </w:num>
  <w:num w:numId="19">
    <w:abstractNumId w:val="45"/>
  </w:num>
  <w:num w:numId="20">
    <w:abstractNumId w:val="3"/>
  </w:num>
  <w:num w:numId="21">
    <w:abstractNumId w:val="31"/>
  </w:num>
  <w:num w:numId="22">
    <w:abstractNumId w:val="9"/>
  </w:num>
  <w:num w:numId="23">
    <w:abstractNumId w:val="21"/>
  </w:num>
  <w:num w:numId="24">
    <w:abstractNumId w:val="7"/>
  </w:num>
  <w:num w:numId="25">
    <w:abstractNumId w:val="6"/>
  </w:num>
  <w:num w:numId="26">
    <w:abstractNumId w:val="20"/>
  </w:num>
  <w:num w:numId="27">
    <w:abstractNumId w:val="15"/>
  </w:num>
  <w:num w:numId="28">
    <w:abstractNumId w:val="27"/>
  </w:num>
  <w:num w:numId="29">
    <w:abstractNumId w:val="37"/>
  </w:num>
  <w:num w:numId="30">
    <w:abstractNumId w:val="26"/>
  </w:num>
  <w:num w:numId="31">
    <w:abstractNumId w:val="1"/>
  </w:num>
  <w:num w:numId="32">
    <w:abstractNumId w:val="2"/>
  </w:num>
  <w:num w:numId="33">
    <w:abstractNumId w:val="19"/>
  </w:num>
  <w:num w:numId="34">
    <w:abstractNumId w:val="10"/>
  </w:num>
  <w:num w:numId="35">
    <w:abstractNumId w:val="28"/>
  </w:num>
  <w:num w:numId="36">
    <w:abstractNumId w:val="32"/>
  </w:num>
  <w:num w:numId="37">
    <w:abstractNumId w:val="25"/>
  </w:num>
  <w:num w:numId="38">
    <w:abstractNumId w:val="40"/>
  </w:num>
  <w:num w:numId="39">
    <w:abstractNumId w:val="12"/>
  </w:num>
  <w:num w:numId="40">
    <w:abstractNumId w:val="4"/>
  </w:num>
  <w:num w:numId="41">
    <w:abstractNumId w:val="22"/>
  </w:num>
  <w:num w:numId="42">
    <w:abstractNumId w:val="16"/>
  </w:num>
  <w:num w:numId="43">
    <w:abstractNumId w:val="36"/>
  </w:num>
  <w:num w:numId="44">
    <w:abstractNumId w:val="30"/>
  </w:num>
  <w:num w:numId="45">
    <w:abstractNumId w:val="13"/>
  </w:num>
  <w:num w:numId="46">
    <w:abstractNumId w:val="1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9DF"/>
    <w:rsid w:val="00064B1D"/>
    <w:rsid w:val="0006644B"/>
    <w:rsid w:val="0007119C"/>
    <w:rsid w:val="000778E3"/>
    <w:rsid w:val="00082EE7"/>
    <w:rsid w:val="00085ACD"/>
    <w:rsid w:val="000909E7"/>
    <w:rsid w:val="00095FDB"/>
    <w:rsid w:val="00097193"/>
    <w:rsid w:val="000A0A64"/>
    <w:rsid w:val="000A171F"/>
    <w:rsid w:val="000A29EC"/>
    <w:rsid w:val="000A2E21"/>
    <w:rsid w:val="000A3F7C"/>
    <w:rsid w:val="000A5304"/>
    <w:rsid w:val="000A7166"/>
    <w:rsid w:val="000A76C4"/>
    <w:rsid w:val="000B4217"/>
    <w:rsid w:val="000B70BA"/>
    <w:rsid w:val="000B7C5B"/>
    <w:rsid w:val="000C4430"/>
    <w:rsid w:val="000D156B"/>
    <w:rsid w:val="000D63FC"/>
    <w:rsid w:val="000D7975"/>
    <w:rsid w:val="000E12C3"/>
    <w:rsid w:val="000E754B"/>
    <w:rsid w:val="00102CFB"/>
    <w:rsid w:val="001128D2"/>
    <w:rsid w:val="0012112F"/>
    <w:rsid w:val="00124E54"/>
    <w:rsid w:val="00126A9A"/>
    <w:rsid w:val="0012740D"/>
    <w:rsid w:val="001335F7"/>
    <w:rsid w:val="00133CA3"/>
    <w:rsid w:val="00134292"/>
    <w:rsid w:val="00143F3E"/>
    <w:rsid w:val="001442F1"/>
    <w:rsid w:val="00144D7E"/>
    <w:rsid w:val="00150F3F"/>
    <w:rsid w:val="00154C7E"/>
    <w:rsid w:val="0016110C"/>
    <w:rsid w:val="001635B8"/>
    <w:rsid w:val="001666A8"/>
    <w:rsid w:val="00167E17"/>
    <w:rsid w:val="00172B03"/>
    <w:rsid w:val="00175106"/>
    <w:rsid w:val="0019238A"/>
    <w:rsid w:val="00195732"/>
    <w:rsid w:val="001962E3"/>
    <w:rsid w:val="00197CB7"/>
    <w:rsid w:val="001A5AF0"/>
    <w:rsid w:val="001A6F2A"/>
    <w:rsid w:val="001A70ED"/>
    <w:rsid w:val="001B0866"/>
    <w:rsid w:val="001B51E2"/>
    <w:rsid w:val="001D0C80"/>
    <w:rsid w:val="001D4ACE"/>
    <w:rsid w:val="001E3085"/>
    <w:rsid w:val="001F0F7C"/>
    <w:rsid w:val="001F23B4"/>
    <w:rsid w:val="001F395B"/>
    <w:rsid w:val="001F7035"/>
    <w:rsid w:val="00203EBD"/>
    <w:rsid w:val="002179A8"/>
    <w:rsid w:val="00230D5C"/>
    <w:rsid w:val="002354D1"/>
    <w:rsid w:val="002368C4"/>
    <w:rsid w:val="0024096C"/>
    <w:rsid w:val="00242275"/>
    <w:rsid w:val="0024417C"/>
    <w:rsid w:val="00246940"/>
    <w:rsid w:val="00251A87"/>
    <w:rsid w:val="002658A9"/>
    <w:rsid w:val="00265D44"/>
    <w:rsid w:val="0027338A"/>
    <w:rsid w:val="002821D9"/>
    <w:rsid w:val="00286000"/>
    <w:rsid w:val="0029392C"/>
    <w:rsid w:val="00296884"/>
    <w:rsid w:val="002B21CE"/>
    <w:rsid w:val="002B2A1D"/>
    <w:rsid w:val="002B65DD"/>
    <w:rsid w:val="002C458F"/>
    <w:rsid w:val="002D2786"/>
    <w:rsid w:val="002D52B0"/>
    <w:rsid w:val="002E7387"/>
    <w:rsid w:val="002E7917"/>
    <w:rsid w:val="002F0F50"/>
    <w:rsid w:val="002F3514"/>
    <w:rsid w:val="00300511"/>
    <w:rsid w:val="00301184"/>
    <w:rsid w:val="0030254C"/>
    <w:rsid w:val="00302F96"/>
    <w:rsid w:val="003033C6"/>
    <w:rsid w:val="00303658"/>
    <w:rsid w:val="00306955"/>
    <w:rsid w:val="0032040C"/>
    <w:rsid w:val="003212B3"/>
    <w:rsid w:val="003231F1"/>
    <w:rsid w:val="00331014"/>
    <w:rsid w:val="003359DD"/>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198"/>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24BC"/>
    <w:rsid w:val="004638A8"/>
    <w:rsid w:val="00465589"/>
    <w:rsid w:val="0046593A"/>
    <w:rsid w:val="00465C84"/>
    <w:rsid w:val="00473AE3"/>
    <w:rsid w:val="0047460A"/>
    <w:rsid w:val="00481EBB"/>
    <w:rsid w:val="00482F7A"/>
    <w:rsid w:val="0048318A"/>
    <w:rsid w:val="004934DE"/>
    <w:rsid w:val="00495DE3"/>
    <w:rsid w:val="004B1682"/>
    <w:rsid w:val="004B3E4F"/>
    <w:rsid w:val="004B5467"/>
    <w:rsid w:val="004C168B"/>
    <w:rsid w:val="004D7537"/>
    <w:rsid w:val="004E0703"/>
    <w:rsid w:val="004E0FAE"/>
    <w:rsid w:val="004F49F6"/>
    <w:rsid w:val="004F604D"/>
    <w:rsid w:val="004F66C0"/>
    <w:rsid w:val="004F699B"/>
    <w:rsid w:val="004F6AA0"/>
    <w:rsid w:val="00500F4B"/>
    <w:rsid w:val="00502E1D"/>
    <w:rsid w:val="00505136"/>
    <w:rsid w:val="005138E7"/>
    <w:rsid w:val="00515086"/>
    <w:rsid w:val="00524874"/>
    <w:rsid w:val="0053318D"/>
    <w:rsid w:val="005346CC"/>
    <w:rsid w:val="00534FAC"/>
    <w:rsid w:val="005579F4"/>
    <w:rsid w:val="00557C70"/>
    <w:rsid w:val="00560BF2"/>
    <w:rsid w:val="00561A21"/>
    <w:rsid w:val="005629D6"/>
    <w:rsid w:val="00566299"/>
    <w:rsid w:val="00566F27"/>
    <w:rsid w:val="00567814"/>
    <w:rsid w:val="0057338B"/>
    <w:rsid w:val="00575CA6"/>
    <w:rsid w:val="005772A1"/>
    <w:rsid w:val="00586457"/>
    <w:rsid w:val="00592BD8"/>
    <w:rsid w:val="00595E50"/>
    <w:rsid w:val="005963A8"/>
    <w:rsid w:val="00596B25"/>
    <w:rsid w:val="00597A31"/>
    <w:rsid w:val="005A0DF7"/>
    <w:rsid w:val="005A3596"/>
    <w:rsid w:val="005A4411"/>
    <w:rsid w:val="005A5731"/>
    <w:rsid w:val="005A6283"/>
    <w:rsid w:val="005B58C5"/>
    <w:rsid w:val="005C5662"/>
    <w:rsid w:val="005D67EA"/>
    <w:rsid w:val="005E0502"/>
    <w:rsid w:val="005E1AA9"/>
    <w:rsid w:val="005E3302"/>
    <w:rsid w:val="005E7139"/>
    <w:rsid w:val="005E7D3D"/>
    <w:rsid w:val="005F738E"/>
    <w:rsid w:val="005F7EDB"/>
    <w:rsid w:val="00601843"/>
    <w:rsid w:val="00602BDB"/>
    <w:rsid w:val="00605DE4"/>
    <w:rsid w:val="00606C15"/>
    <w:rsid w:val="00615570"/>
    <w:rsid w:val="00621E02"/>
    <w:rsid w:val="006344C1"/>
    <w:rsid w:val="00634780"/>
    <w:rsid w:val="0063584C"/>
    <w:rsid w:val="00636C4C"/>
    <w:rsid w:val="006375DA"/>
    <w:rsid w:val="00643F76"/>
    <w:rsid w:val="0065288A"/>
    <w:rsid w:val="00654A49"/>
    <w:rsid w:val="00660119"/>
    <w:rsid w:val="00660182"/>
    <w:rsid w:val="00663602"/>
    <w:rsid w:val="0067072B"/>
    <w:rsid w:val="00672836"/>
    <w:rsid w:val="00681A23"/>
    <w:rsid w:val="006904F9"/>
    <w:rsid w:val="00690BCB"/>
    <w:rsid w:val="00692ECE"/>
    <w:rsid w:val="006939AA"/>
    <w:rsid w:val="00694AF4"/>
    <w:rsid w:val="006A1AA4"/>
    <w:rsid w:val="006A2A29"/>
    <w:rsid w:val="006A4D35"/>
    <w:rsid w:val="006A5382"/>
    <w:rsid w:val="006B0EA7"/>
    <w:rsid w:val="006B3254"/>
    <w:rsid w:val="006B45DB"/>
    <w:rsid w:val="006D2154"/>
    <w:rsid w:val="006D6F14"/>
    <w:rsid w:val="006E1773"/>
    <w:rsid w:val="006E3756"/>
    <w:rsid w:val="006E4FC5"/>
    <w:rsid w:val="006F1E6F"/>
    <w:rsid w:val="006F3DE9"/>
    <w:rsid w:val="00701B77"/>
    <w:rsid w:val="00703DB1"/>
    <w:rsid w:val="007047B6"/>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3E70"/>
    <w:rsid w:val="007F4974"/>
    <w:rsid w:val="008021F4"/>
    <w:rsid w:val="00803355"/>
    <w:rsid w:val="00803807"/>
    <w:rsid w:val="00806F68"/>
    <w:rsid w:val="008249D7"/>
    <w:rsid w:val="00831C13"/>
    <w:rsid w:val="00832040"/>
    <w:rsid w:val="008374CD"/>
    <w:rsid w:val="00842029"/>
    <w:rsid w:val="0084231E"/>
    <w:rsid w:val="00847843"/>
    <w:rsid w:val="00852925"/>
    <w:rsid w:val="00852970"/>
    <w:rsid w:val="00857513"/>
    <w:rsid w:val="008625B0"/>
    <w:rsid w:val="00874BE4"/>
    <w:rsid w:val="0087517A"/>
    <w:rsid w:val="00880A54"/>
    <w:rsid w:val="00880B99"/>
    <w:rsid w:val="008A1017"/>
    <w:rsid w:val="008A2D96"/>
    <w:rsid w:val="008A383B"/>
    <w:rsid w:val="008A3DED"/>
    <w:rsid w:val="008A7577"/>
    <w:rsid w:val="008A7B7E"/>
    <w:rsid w:val="008B35F9"/>
    <w:rsid w:val="008B7946"/>
    <w:rsid w:val="008C12D8"/>
    <w:rsid w:val="008C5622"/>
    <w:rsid w:val="008C7C04"/>
    <w:rsid w:val="008D2B97"/>
    <w:rsid w:val="008D2C02"/>
    <w:rsid w:val="008D5767"/>
    <w:rsid w:val="008E02C8"/>
    <w:rsid w:val="008E069F"/>
    <w:rsid w:val="008E66DE"/>
    <w:rsid w:val="008F46E2"/>
    <w:rsid w:val="008F59AC"/>
    <w:rsid w:val="008F6F60"/>
    <w:rsid w:val="00914F75"/>
    <w:rsid w:val="0091704E"/>
    <w:rsid w:val="0092646A"/>
    <w:rsid w:val="009301F2"/>
    <w:rsid w:val="0093306C"/>
    <w:rsid w:val="00933172"/>
    <w:rsid w:val="00934FCA"/>
    <w:rsid w:val="00941F5F"/>
    <w:rsid w:val="009460F6"/>
    <w:rsid w:val="00946C23"/>
    <w:rsid w:val="00953F61"/>
    <w:rsid w:val="00957072"/>
    <w:rsid w:val="00963BCA"/>
    <w:rsid w:val="00981300"/>
    <w:rsid w:val="00985BA2"/>
    <w:rsid w:val="0099006C"/>
    <w:rsid w:val="0099589C"/>
    <w:rsid w:val="00995EB3"/>
    <w:rsid w:val="00995FEB"/>
    <w:rsid w:val="009962EE"/>
    <w:rsid w:val="009A3F58"/>
    <w:rsid w:val="009A71AC"/>
    <w:rsid w:val="009C1202"/>
    <w:rsid w:val="009C1E90"/>
    <w:rsid w:val="009C3B42"/>
    <w:rsid w:val="009C5B53"/>
    <w:rsid w:val="009D0FCD"/>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6AF5"/>
    <w:rsid w:val="00A57703"/>
    <w:rsid w:val="00A6293F"/>
    <w:rsid w:val="00A62A3D"/>
    <w:rsid w:val="00A73013"/>
    <w:rsid w:val="00A77B67"/>
    <w:rsid w:val="00A82DEA"/>
    <w:rsid w:val="00A8687A"/>
    <w:rsid w:val="00A87620"/>
    <w:rsid w:val="00A90406"/>
    <w:rsid w:val="00AA14C6"/>
    <w:rsid w:val="00AA6FD3"/>
    <w:rsid w:val="00AA74B8"/>
    <w:rsid w:val="00AB10C1"/>
    <w:rsid w:val="00AB137B"/>
    <w:rsid w:val="00AB4D65"/>
    <w:rsid w:val="00AB62F1"/>
    <w:rsid w:val="00AB695B"/>
    <w:rsid w:val="00AC1195"/>
    <w:rsid w:val="00AC384A"/>
    <w:rsid w:val="00AD3584"/>
    <w:rsid w:val="00AD470B"/>
    <w:rsid w:val="00AE07E4"/>
    <w:rsid w:val="00AE2642"/>
    <w:rsid w:val="00AE2BBA"/>
    <w:rsid w:val="00AE3EFB"/>
    <w:rsid w:val="00AE6295"/>
    <w:rsid w:val="00AE745D"/>
    <w:rsid w:val="00B0365A"/>
    <w:rsid w:val="00B0703E"/>
    <w:rsid w:val="00B10CE7"/>
    <w:rsid w:val="00B11DC1"/>
    <w:rsid w:val="00B30054"/>
    <w:rsid w:val="00B46B1D"/>
    <w:rsid w:val="00B60D4D"/>
    <w:rsid w:val="00B612D5"/>
    <w:rsid w:val="00B6489B"/>
    <w:rsid w:val="00B753A2"/>
    <w:rsid w:val="00B82357"/>
    <w:rsid w:val="00B840D8"/>
    <w:rsid w:val="00B90640"/>
    <w:rsid w:val="00B90B47"/>
    <w:rsid w:val="00B9228B"/>
    <w:rsid w:val="00B9303C"/>
    <w:rsid w:val="00B93824"/>
    <w:rsid w:val="00BB2180"/>
    <w:rsid w:val="00BB5573"/>
    <w:rsid w:val="00BC69C2"/>
    <w:rsid w:val="00BD463F"/>
    <w:rsid w:val="00BD5E41"/>
    <w:rsid w:val="00BE3A33"/>
    <w:rsid w:val="00BE56B7"/>
    <w:rsid w:val="00BE6C9C"/>
    <w:rsid w:val="00BF2F1E"/>
    <w:rsid w:val="00BF3255"/>
    <w:rsid w:val="00BF3E57"/>
    <w:rsid w:val="00C042BD"/>
    <w:rsid w:val="00C054A3"/>
    <w:rsid w:val="00C067BB"/>
    <w:rsid w:val="00C11333"/>
    <w:rsid w:val="00C1261B"/>
    <w:rsid w:val="00C12C0B"/>
    <w:rsid w:val="00C13571"/>
    <w:rsid w:val="00C21BF4"/>
    <w:rsid w:val="00C25FA6"/>
    <w:rsid w:val="00C27B95"/>
    <w:rsid w:val="00C30097"/>
    <w:rsid w:val="00C328DE"/>
    <w:rsid w:val="00C32D88"/>
    <w:rsid w:val="00C33DC9"/>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964C1"/>
    <w:rsid w:val="00CA2F02"/>
    <w:rsid w:val="00CA6AD5"/>
    <w:rsid w:val="00CC1D62"/>
    <w:rsid w:val="00CC3786"/>
    <w:rsid w:val="00CD15A7"/>
    <w:rsid w:val="00CE1C55"/>
    <w:rsid w:val="00CE3433"/>
    <w:rsid w:val="00CE5FEE"/>
    <w:rsid w:val="00CF471D"/>
    <w:rsid w:val="00CF5F63"/>
    <w:rsid w:val="00D01650"/>
    <w:rsid w:val="00D0464B"/>
    <w:rsid w:val="00D13974"/>
    <w:rsid w:val="00D13D50"/>
    <w:rsid w:val="00D1698C"/>
    <w:rsid w:val="00D16F68"/>
    <w:rsid w:val="00D244C2"/>
    <w:rsid w:val="00D345A2"/>
    <w:rsid w:val="00D4436A"/>
    <w:rsid w:val="00D461C5"/>
    <w:rsid w:val="00D5235C"/>
    <w:rsid w:val="00D548C3"/>
    <w:rsid w:val="00D56AEB"/>
    <w:rsid w:val="00D56DF2"/>
    <w:rsid w:val="00D60CE5"/>
    <w:rsid w:val="00D6364B"/>
    <w:rsid w:val="00D711E4"/>
    <w:rsid w:val="00D77061"/>
    <w:rsid w:val="00D864CA"/>
    <w:rsid w:val="00D8656A"/>
    <w:rsid w:val="00D8766C"/>
    <w:rsid w:val="00D93480"/>
    <w:rsid w:val="00D95324"/>
    <w:rsid w:val="00DA05F4"/>
    <w:rsid w:val="00DA3C03"/>
    <w:rsid w:val="00DB0147"/>
    <w:rsid w:val="00DC1B06"/>
    <w:rsid w:val="00DC26F4"/>
    <w:rsid w:val="00DD1651"/>
    <w:rsid w:val="00DD1AF4"/>
    <w:rsid w:val="00DD1FCA"/>
    <w:rsid w:val="00DE5981"/>
    <w:rsid w:val="00DF0C95"/>
    <w:rsid w:val="00DF1831"/>
    <w:rsid w:val="00DF6657"/>
    <w:rsid w:val="00E147D4"/>
    <w:rsid w:val="00E152A7"/>
    <w:rsid w:val="00E25DEE"/>
    <w:rsid w:val="00E30091"/>
    <w:rsid w:val="00E3179B"/>
    <w:rsid w:val="00E34397"/>
    <w:rsid w:val="00E34F2E"/>
    <w:rsid w:val="00E43D89"/>
    <w:rsid w:val="00E51409"/>
    <w:rsid w:val="00E5417F"/>
    <w:rsid w:val="00E71354"/>
    <w:rsid w:val="00E72798"/>
    <w:rsid w:val="00E75237"/>
    <w:rsid w:val="00E7635E"/>
    <w:rsid w:val="00E76541"/>
    <w:rsid w:val="00E85099"/>
    <w:rsid w:val="00E869EB"/>
    <w:rsid w:val="00E8725E"/>
    <w:rsid w:val="00E873B3"/>
    <w:rsid w:val="00EA3503"/>
    <w:rsid w:val="00EA3BE5"/>
    <w:rsid w:val="00EB1CB6"/>
    <w:rsid w:val="00EB2847"/>
    <w:rsid w:val="00EB5CC4"/>
    <w:rsid w:val="00EB7238"/>
    <w:rsid w:val="00EC3F4B"/>
    <w:rsid w:val="00ED1B36"/>
    <w:rsid w:val="00ED62CE"/>
    <w:rsid w:val="00EE5368"/>
    <w:rsid w:val="00EE78A7"/>
    <w:rsid w:val="00EF2358"/>
    <w:rsid w:val="00EF3C51"/>
    <w:rsid w:val="00EF5E3C"/>
    <w:rsid w:val="00EF7F1A"/>
    <w:rsid w:val="00F001D3"/>
    <w:rsid w:val="00F150A3"/>
    <w:rsid w:val="00F36C8F"/>
    <w:rsid w:val="00F36D29"/>
    <w:rsid w:val="00F371C8"/>
    <w:rsid w:val="00F446B4"/>
    <w:rsid w:val="00F4646A"/>
    <w:rsid w:val="00F50AAE"/>
    <w:rsid w:val="00F514B1"/>
    <w:rsid w:val="00F60396"/>
    <w:rsid w:val="00F634A8"/>
    <w:rsid w:val="00F76CCA"/>
    <w:rsid w:val="00F859E6"/>
    <w:rsid w:val="00F866AD"/>
    <w:rsid w:val="00F87849"/>
    <w:rsid w:val="00F92749"/>
    <w:rsid w:val="00FA2D4A"/>
    <w:rsid w:val="00FA5036"/>
    <w:rsid w:val="00FA5C88"/>
    <w:rsid w:val="00FA62AA"/>
    <w:rsid w:val="00FA7950"/>
    <w:rsid w:val="00FB1FB9"/>
    <w:rsid w:val="00FB289A"/>
    <w:rsid w:val="00FB47DC"/>
    <w:rsid w:val="00FB6DF5"/>
    <w:rsid w:val="00FC0202"/>
    <w:rsid w:val="00FC1008"/>
    <w:rsid w:val="00FC4BE0"/>
    <w:rsid w:val="00FC6938"/>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 w:type="character" w:customStyle="1" w:styleId="Zkladntext2Char">
    <w:name w:val="Základní text 2 Char"/>
    <w:basedOn w:val="Standardnpsmoodstavce"/>
    <w:link w:val="Zkladntext2"/>
    <w:rsid w:val="00DD1651"/>
    <w:rPr>
      <w:rFonts w:ascii="Arial Narrow" w:hAnsi="Arial Narro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 w:type="character" w:customStyle="1" w:styleId="Zkladntext2Char">
    <w:name w:val="Základní text 2 Char"/>
    <w:basedOn w:val="Standardnpsmoodstavce"/>
    <w:link w:val="Zkladntext2"/>
    <w:rsid w:val="00DD1651"/>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4700617">
      <w:bodyDiv w:val="1"/>
      <w:marLeft w:val="0"/>
      <w:marRight w:val="0"/>
      <w:marTop w:val="0"/>
      <w:marBottom w:val="0"/>
      <w:divBdr>
        <w:top w:val="none" w:sz="0" w:space="0" w:color="auto"/>
        <w:left w:val="none" w:sz="0" w:space="0" w:color="auto"/>
        <w:bottom w:val="none" w:sz="0" w:space="0" w:color="auto"/>
        <w:right w:val="none" w:sz="0" w:space="0" w:color="auto"/>
      </w:divBdr>
      <w:divsChild>
        <w:div w:id="1065570939">
          <w:marLeft w:val="0"/>
          <w:marRight w:val="0"/>
          <w:marTop w:val="0"/>
          <w:marBottom w:val="0"/>
          <w:divBdr>
            <w:top w:val="none" w:sz="0" w:space="0" w:color="auto"/>
            <w:left w:val="none" w:sz="0" w:space="0" w:color="auto"/>
            <w:bottom w:val="none" w:sz="0" w:space="0" w:color="auto"/>
            <w:right w:val="none" w:sz="0" w:space="0" w:color="auto"/>
          </w:divBdr>
        </w:div>
      </w:divsChild>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objgsljmXZKcHmu8DAFv8brFyro=</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81G1re4SX/2MeGbZGhn7MfWUMak=</DigestValue>
    </Reference>
  </SignedInfo>
  <SignatureValue>vVnx8B4/lgYp3vrcpsQFxmlvgKl2zYtMzDo7r58xDsOmim0RHu/V0Yb9gZxAKOtJhQdmrvFsex+V
lhilLKP6kelKr1IDRGs35XJwkHQL5TNvifrOwHVUjcy0m2HSRklOWWPCxKF7EtGuIGhmqdczMoDv
tudo3QSWl7hpEvALS6QiFBJ26Um+MnlHxTYmD5OimNDtb0rMR/gbakVfAsJvR/b+Deh8KVA+d19/
DW0i6OTQjRUDuuHSO2vw0N0/txSr8VwYcnm3WrXX8hz9b3FEdpirz7Q8qgh574DleX3vpEuK3RX2
8IPdQACog0nudMtZqqHFnA23jNWGTy6gVE5Eow==</SignatureValue>
  <KeyInfo>
    <X509Data>
      <X509Certificate>MIIIRDCCByygAwIBAgIDIcS9MA0GCSqGSIb3DQEBCwUAMF8xCzAJBgNVBAYTAkNaMSwwKgYDVQQK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75fcCynjtDYejktSbMHbtjRZUU4wDQYJKoZIhvcNAQELBQADggEBABDkb/3sV/tmFg/o9/4e1Eb+
5KGIWDfOXMGCW6k+f70etKcTnLi2nq6Gfjv9OunRvsy9Gz7NYrosw98xoH5QOngC+wIFC9h+Wcvh
F+x3Z9aXcnhnDO4vkcmRs10DD+5bj4wDVkouQUWNg+WIgIKGI/yR56laPR4+ID33EKK2OHWvFSPG
H6CxSgAWOEFRzzWXHDHYrhJn1T98qPpOT8Hqs/Hc31S//9CWSswIHc0VErFBQBBgQBCGrMdWXMBB
jG9oIGyQJjuuXpiWod0gRe82b623WwPGJ3Dj0decQNxN2SuNZPFrsgskdK5UqXAudpvtx9B+fKFM
E8IIAEEkQkUtpU8=</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VZuf2SgeUzVPtMAxlMGURA5Mrzw=</DigestValue>
      </Reference>
      <Reference URI="/word/stylesWithEffects.xml?ContentType=application/vnd.ms-word.stylesWithEffects+xml">
        <DigestMethod Algorithm="http://www.w3.org/2000/09/xmldsig#sha1"/>
        <DigestValue>5gFgQGozrI9diVrgO0sVN242Vvc=</DigestValue>
      </Reference>
      <Reference URI="/word/media/image2.jpeg?ContentType=image/jpeg">
        <DigestMethod Algorithm="http://www.w3.org/2000/09/xmldsig#sha1"/>
        <DigestValue>8m/3uA0Vm4CVvZWrk/Wsicw55lI=</DigestValue>
      </Reference>
      <Reference URI="/word/theme/theme1.xml?ContentType=application/vnd.openxmlformats-officedocument.theme+xml">
        <DigestMethod Algorithm="http://www.w3.org/2000/09/xmldsig#sha1"/>
        <DigestValue>AD8pTYTwWdY2i3V+GDTPhUgnfUA=</DigestValue>
      </Reference>
      <Reference URI="/word/media/image1.emf?ContentType=image/x-emf">
        <DigestMethod Algorithm="http://www.w3.org/2000/09/xmldsig#sha1"/>
        <DigestValue>2/o36Ew3FYGxuhYjaJpTkY/txDs=</DigestValue>
      </Reference>
      <Reference URI="/word/embeddings/Microsoft_Word_Document1.docx?ContentType=application/vnd.openxmlformats-officedocument.wordprocessingml.document">
        <DigestMethod Algorithm="http://www.w3.org/2000/09/xmldsig#sha1"/>
        <DigestValue>Z4F4Q7o2ZyP7BUhnp2D/+wGx/MQ=</DigestValue>
      </Reference>
      <Reference URI="/word/settings.xml?ContentType=application/vnd.openxmlformats-officedocument.wordprocessingml.settings+xml">
        <DigestMethod Algorithm="http://www.w3.org/2000/09/xmldsig#sha1"/>
        <DigestValue>iv9MQhRAeo4S9SL7BhPPjXSeXnc=</DigestValue>
      </Reference>
      <Reference URI="/word/footer2.xml?ContentType=application/vnd.openxmlformats-officedocument.wordprocessingml.footer+xml">
        <DigestMethod Algorithm="http://www.w3.org/2000/09/xmldsig#sha1"/>
        <DigestValue>6qsMiS7P8TJH+XdTYz/79p5Q5l4=</DigestValue>
      </Reference>
      <Reference URI="/word/footnotes.xml?ContentType=application/vnd.openxmlformats-officedocument.wordprocessingml.footnotes+xml">
        <DigestMethod Algorithm="http://www.w3.org/2000/09/xmldsig#sha1"/>
        <DigestValue>khbwfFvSmTVDduYPvq6r4rZcT5w=</DigestValue>
      </Reference>
      <Reference URI="/word/footer1.xml?ContentType=application/vnd.openxmlformats-officedocument.wordprocessingml.footer+xml">
        <DigestMethod Algorithm="http://www.w3.org/2000/09/xmldsig#sha1"/>
        <DigestValue>HlRfkuuyWxJRSiHozd27znUYCZE=</DigestValue>
      </Reference>
      <Reference URI="/word/document.xml?ContentType=application/vnd.openxmlformats-officedocument.wordprocessingml.document.main+xml">
        <DigestMethod Algorithm="http://www.w3.org/2000/09/xmldsig#sha1"/>
        <DigestValue>YejbbulENxDN6HNR65UYfTu+Tyc=</DigestValue>
      </Reference>
      <Reference URI="/word/webSettings.xml?ContentType=application/vnd.openxmlformats-officedocument.wordprocessingml.webSettings+xml">
        <DigestMethod Algorithm="http://www.w3.org/2000/09/xmldsig#sha1"/>
        <DigestValue>0jCnecB18bY/EQoGMMBWAVqfCPw=</DigestValue>
      </Reference>
      <Reference URI="/word/numbering.xml?ContentType=application/vnd.openxmlformats-officedocument.wordprocessingml.numbering+xml">
        <DigestMethod Algorithm="http://www.w3.org/2000/09/xmldsig#sha1"/>
        <DigestValue>1ihGUnxO1omy/u4SRyMYILVQdc8=</DigestValue>
      </Reference>
      <Reference URI="/word/header2.xml?ContentType=application/vnd.openxmlformats-officedocument.wordprocessingml.header+xml">
        <DigestMethod Algorithm="http://www.w3.org/2000/09/xmldsig#sha1"/>
        <DigestValue>wklsw1M8qqGPXW1aZPXV720mago=</DigestValue>
      </Reference>
      <Reference URI="/word/header1.xml?ContentType=application/vnd.openxmlformats-officedocument.wordprocessingml.header+xml">
        <DigestMethod Algorithm="http://www.w3.org/2000/09/xmldsig#sha1"/>
        <DigestValue>UE3sZGM6lLyM4BZQ9AJKYepWf78=</DigestValue>
      </Reference>
      <Reference URI="/word/endnotes.xml?ContentType=application/vnd.openxmlformats-officedocument.wordprocessingml.endnotes+xml">
        <DigestMethod Algorithm="http://www.w3.org/2000/09/xmldsig#sha1"/>
        <DigestValue>PUyOWyz7uvQXninpo3pLUSU0xBI=</DigestValue>
      </Reference>
      <Reference URI="/word/fontTable.xml?ContentType=application/vnd.openxmlformats-officedocument.wordprocessingml.fontTable+xml">
        <DigestMethod Algorithm="http://www.w3.org/2000/09/xmldsig#sha1"/>
        <DigestValue>EOmN4IIMpE9aokxZv9AmhmFQkzE=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header2.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OeWERije9odXkv0pFkx1vtUVhb4=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2Hqhar+1LL25CNc1aiwLP6p/2WA=</DigestValue>
      </Reference>
    </Manifest>
    <SignatureProperties>
      <SignatureProperty Id="idSignatureTime" Target="#idPackageSignature">
        <mdssi:SignatureTime>
          <mdssi:Format>YYYY-MM-DDThh:mm:ssTZD</mdssi:Format>
          <mdssi:Value>2017-02-09T13:33:00Z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2017-02-09T13:33:00Z</xd:SigningTime>
          <xd:SigningCertificate>
            <xd:Cert>
              <xd:CertDigest>
                <DigestMethod Algorithm="http://www.w3.org/2000/09/xmldsig#sha1"/>
                <DigestValue>UIPMDVJETIJF66QvxEq5+rvkUpc=</DigestValue>
              </xd:CertDigest>
              <xd:IssuerSerial>
                <X509IssuerName>CN=PostSignum Qualified CA 2, O="Česká pošta, s.p. [IČ 47114983]", C=CZ</X509IssuerName>
                <X509SerialNumber>2213053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C882-9CBF-4B0A-9312-B8980198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2707</Words>
  <Characters>15977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18647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14</cp:revision>
  <cp:lastPrinted>2017-02-08T14:16:00Z</cp:lastPrinted>
  <dcterms:created xsi:type="dcterms:W3CDTF">2017-02-06T14:36:00Z</dcterms:created>
  <dcterms:modified xsi:type="dcterms:W3CDTF">2017-02-09T12:55:00Z</dcterms:modified>
</cp:coreProperties>
</file>